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default" w:ascii="Arial" w:hAnsi="Arial" w:cs="Arial"/>
          <w:b/>
          <w:sz w:val="22"/>
          <w:szCs w:val="22"/>
          <w:lang w:val="en-US" w:eastAsia="zh-CN"/>
        </w:rPr>
        <w:t>7</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R1-2110917</w:t>
      </w:r>
    </w:p>
    <w:p>
      <w:pPr>
        <w:tabs>
          <w:tab w:val="right" w:pos="9630"/>
        </w:tabs>
        <w:spacing w:after="0"/>
        <w:rPr>
          <w:rFonts w:ascii="Arial" w:hAnsi="Arial" w:cs="Arial"/>
          <w:b/>
          <w:sz w:val="22"/>
          <w:szCs w:val="22"/>
        </w:rPr>
      </w:pPr>
      <w:r>
        <w:rPr>
          <w:rFonts w:hint="eastAsia" w:ascii="Arial" w:hAnsi="Arial" w:cs="Arial"/>
          <w:b/>
          <w:sz w:val="22"/>
          <w:szCs w:val="22"/>
        </w:rPr>
        <w:t>e-Meeting, November 11</w:t>
      </w:r>
      <w:r>
        <w:rPr>
          <w:rFonts w:hint="eastAsia" w:ascii="Arial" w:hAnsi="Arial" w:cs="Arial"/>
          <w:b/>
          <w:sz w:val="22"/>
          <w:szCs w:val="22"/>
          <w:vertAlign w:val="superscript"/>
        </w:rPr>
        <w:t>th</w:t>
      </w:r>
      <w:r>
        <w:rPr>
          <w:rFonts w:hint="eastAsia" w:ascii="Arial" w:hAnsi="Arial" w:cs="Arial"/>
          <w:b/>
          <w:sz w:val="22"/>
          <w:szCs w:val="22"/>
        </w:rPr>
        <w:t xml:space="preserve"> – 19</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propagation delay compensation enhancements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val="en-GB" w:eastAsia="zh-CN"/>
        </w:rPr>
        <w:t xml:space="preserve">In </w:t>
      </w:r>
      <w:r>
        <w:rPr>
          <w:rFonts w:hint="eastAsia"/>
          <w:lang w:eastAsia="zh-CN"/>
        </w:rPr>
        <w:t>RAN1#10</w:t>
      </w:r>
      <w:r>
        <w:rPr>
          <w:lang w:eastAsia="zh-CN"/>
        </w:rPr>
        <w:t>6</w:t>
      </w:r>
      <w:r>
        <w:rPr>
          <w:rFonts w:hint="eastAsia"/>
          <w:lang w:eastAsia="zh-CN"/>
        </w:rPr>
        <w:t>-e</w:t>
      </w:r>
      <w:r>
        <w:rPr>
          <w:rFonts w:hint="eastAsia"/>
          <w:lang w:val="en-GB" w:eastAsia="zh-CN"/>
        </w:rPr>
        <w:t xml:space="preserve">, the following agreements were </w:t>
      </w:r>
      <w:r>
        <w:rPr>
          <w:lang w:val="en-GB" w:eastAsia="zh-CN"/>
        </w:rPr>
        <w:t>reached</w:t>
      </w:r>
      <w:r>
        <w:rPr>
          <w:lang w:eastAsia="zh-CN"/>
        </w:rPr>
        <w:t xml:space="preserve"> on propagation delay compensation enhancements</w:t>
      </w:r>
      <w:r>
        <w:rPr>
          <w:lang w:val="en-GB" w:eastAsia="zh-CN"/>
        </w:rPr>
        <w:t xml:space="preserve"> [</w:t>
      </w:r>
      <w:r>
        <w:rPr>
          <w:rFonts w:hint="eastAsia"/>
          <w:lang w:val="en-GB" w:eastAsia="zh-CN"/>
        </w:rPr>
        <w:t xml:space="preserve">1]. In this contribution, </w:t>
      </w:r>
      <w:r>
        <w:rPr>
          <w:rFonts w:hint="eastAsia"/>
          <w:lang w:eastAsia="zh-CN"/>
        </w:rPr>
        <w:t>further discussion on the propagation delay compensation are presented.</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keepNext w:val="0"/>
              <w:keepLines w:val="0"/>
              <w:pageBreakBefore w:val="0"/>
              <w:widowControl/>
              <w:kinsoku/>
              <w:wordWrap/>
              <w:topLinePunct w:val="0"/>
              <w:bidi w:val="0"/>
              <w:spacing w:before="120" w:after="0" w:line="280" w:lineRule="atLeast"/>
              <w:rPr>
                <w:rFonts w:cs="Times"/>
                <w:b/>
                <w:szCs w:val="20"/>
                <w:highlight w:val="green"/>
                <w:lang w:eastAsia="zh-CN"/>
              </w:rPr>
            </w:pPr>
            <w:bookmarkStart w:id="3" w:name="OLE_LINK11"/>
            <w:r>
              <w:rPr>
                <w:rFonts w:cs="Times"/>
                <w:b/>
                <w:szCs w:val="20"/>
                <w:highlight w:val="green"/>
                <w:lang w:eastAsia="zh-CN"/>
              </w:rPr>
              <w:t>Agreement</w:t>
            </w:r>
          </w:p>
          <w:p>
            <w:pPr>
              <w:keepNext w:val="0"/>
              <w:keepLines w:val="0"/>
              <w:pageBreakBefore w:val="0"/>
              <w:widowControl/>
              <w:kinsoku/>
              <w:wordWrap/>
              <w:topLinePunct w:val="0"/>
              <w:bidi w:val="0"/>
              <w:spacing w:before="120" w:after="0" w:line="280" w:lineRule="atLeast"/>
              <w:rPr>
                <w:rFonts w:cs="Times"/>
                <w:szCs w:val="20"/>
                <w:lang w:eastAsia="zh-CN"/>
              </w:rPr>
            </w:pPr>
            <w:r>
              <w:rPr>
                <w:rFonts w:cs="Times"/>
                <w:szCs w:val="20"/>
                <w:lang w:eastAsia="zh-CN"/>
              </w:rPr>
              <w:t>For evaluation of the overall time synchronization error for RTT-based propagation delay compensation,</w:t>
            </w:r>
          </w:p>
          <w:bookmarkEnd w:id="3"/>
          <w:p>
            <w:pPr>
              <w:pStyle w:val="114"/>
              <w:keepNext w:val="0"/>
              <w:keepLines w:val="0"/>
              <w:pageBreakBefore w:val="0"/>
              <w:widowControl/>
              <w:numPr>
                <w:ilvl w:val="0"/>
                <w:numId w:val="10"/>
              </w:numPr>
              <w:kinsoku/>
              <w:wordWrap/>
              <w:overflowPunct w:val="0"/>
              <w:topLinePunct w:val="0"/>
              <w:autoSpaceDE w:val="0"/>
              <w:autoSpaceDN w:val="0"/>
              <w:bidi w:val="0"/>
              <w:adjustRightInd w:val="0"/>
              <w:spacing w:before="120" w:after="0" w:line="280" w:lineRule="atLeast"/>
              <w:ind w:leftChars="0"/>
              <w:contextualSpacing/>
              <w:textAlignment w:val="baseline"/>
              <w:rPr>
                <w:iCs/>
                <w:lang w:eastAsia="zh-CN"/>
              </w:rPr>
            </w:pPr>
            <w:r>
              <w:rPr>
                <w:iCs/>
                <w:lang w:eastAsia="zh-CN"/>
              </w:rPr>
              <w:t>Alt.1 for RTT-based PDC</w:t>
            </w:r>
          </w:p>
          <w:p>
            <w:pPr>
              <w:keepNext w:val="0"/>
              <w:keepLines w:val="0"/>
              <w:pageBreakBefore w:val="0"/>
              <w:widowControl/>
              <w:kinsoku/>
              <w:wordWrap/>
              <w:topLinePunct w:val="0"/>
              <w:bidi w:val="0"/>
              <w:spacing w:before="120" w:after="0" w:line="280" w:lineRule="atLeast"/>
              <w:rPr>
                <w:rFonts w:cs="Times"/>
                <w:i/>
                <w:iCs/>
                <w:szCs w:val="20"/>
              </w:rPr>
            </w:pPr>
          </w:p>
          <w:p>
            <w:pPr>
              <w:keepNext w:val="0"/>
              <w:keepLines w:val="0"/>
              <w:pageBreakBefore w:val="0"/>
              <w:widowControl/>
              <w:kinsoku/>
              <w:wordWrap/>
              <w:topLinePunct w:val="0"/>
              <w:bidi w:val="0"/>
              <w:spacing w:before="120" w:after="0" w:line="280" w:lineRule="atLeast"/>
              <w:rPr>
                <w:rFonts w:cs="Times"/>
                <w:b/>
                <w:szCs w:val="20"/>
                <w:highlight w:val="green"/>
                <w:lang w:eastAsia="zh-CN"/>
              </w:rPr>
            </w:pPr>
            <w:r>
              <w:rPr>
                <w:rFonts w:cs="Times"/>
                <w:b/>
                <w:szCs w:val="20"/>
                <w:highlight w:val="green"/>
                <w:lang w:eastAsia="zh-CN"/>
              </w:rPr>
              <w:t>Agreement</w:t>
            </w:r>
          </w:p>
          <w:p>
            <w:pPr>
              <w:keepNext w:val="0"/>
              <w:keepLines w:val="0"/>
              <w:pageBreakBefore w:val="0"/>
              <w:widowControl/>
              <w:kinsoku/>
              <w:wordWrap/>
              <w:topLinePunct w:val="0"/>
              <w:bidi w:val="0"/>
              <w:spacing w:before="120" w:after="0" w:line="280" w:lineRule="atLeast"/>
              <w:rPr>
                <w:rFonts w:cs="Times"/>
                <w:szCs w:val="20"/>
                <w:lang w:eastAsia="zh-CN"/>
              </w:rPr>
            </w:pPr>
            <w:r>
              <w:rPr>
                <w:rFonts w:cs="Times"/>
                <w:szCs w:val="20"/>
                <w:lang w:eastAsia="zh-CN"/>
              </w:rPr>
              <w:t>For evaluation of the overall time synchronization error for TA-based propagation delay compensation,</w:t>
            </w:r>
          </w:p>
          <w:p>
            <w:pPr>
              <w:pStyle w:val="114"/>
              <w:keepNext w:val="0"/>
              <w:keepLines w:val="0"/>
              <w:pageBreakBefore w:val="0"/>
              <w:widowControl/>
              <w:numPr>
                <w:ilvl w:val="0"/>
                <w:numId w:val="10"/>
              </w:numPr>
              <w:kinsoku/>
              <w:wordWrap/>
              <w:overflowPunct w:val="0"/>
              <w:topLinePunct w:val="0"/>
              <w:autoSpaceDE w:val="0"/>
              <w:autoSpaceDN w:val="0"/>
              <w:bidi w:val="0"/>
              <w:adjustRightInd w:val="0"/>
              <w:spacing w:before="120" w:after="0" w:line="280" w:lineRule="atLeast"/>
              <w:ind w:leftChars="0"/>
              <w:contextualSpacing/>
              <w:textAlignment w:val="baseline"/>
              <w:rPr>
                <w:iCs/>
                <w:lang w:eastAsia="zh-CN"/>
              </w:rPr>
            </w:pPr>
            <w:r>
              <w:rPr>
                <w:iCs/>
                <w:lang w:eastAsia="zh-CN"/>
              </w:rPr>
              <w:t>Alt.1 for TA-based PDC</w:t>
            </w:r>
          </w:p>
          <w:p>
            <w:pPr>
              <w:keepNext w:val="0"/>
              <w:keepLines w:val="0"/>
              <w:pageBreakBefore w:val="0"/>
              <w:widowControl/>
              <w:kinsoku/>
              <w:wordWrap/>
              <w:topLinePunct w:val="0"/>
              <w:bidi w:val="0"/>
              <w:spacing w:before="120" w:after="0" w:line="280" w:lineRule="atLeast"/>
              <w:rPr>
                <w:rFonts w:cs="Times"/>
                <w:i/>
                <w:iCs/>
                <w:szCs w:val="20"/>
              </w:rPr>
            </w:pPr>
          </w:p>
          <w:p>
            <w:pPr>
              <w:keepNext w:val="0"/>
              <w:keepLines w:val="0"/>
              <w:pageBreakBefore w:val="0"/>
              <w:widowControl/>
              <w:kinsoku/>
              <w:wordWrap/>
              <w:topLinePunct w:val="0"/>
              <w:bidi w:val="0"/>
              <w:spacing w:before="120" w:after="0" w:line="280" w:lineRule="atLeast"/>
              <w:rPr>
                <w:rFonts w:cs="Times"/>
                <w:b/>
                <w:szCs w:val="20"/>
                <w:highlight w:val="green"/>
                <w:lang w:eastAsia="zh-CN"/>
              </w:rPr>
            </w:pPr>
            <w:r>
              <w:rPr>
                <w:rFonts w:cs="Times"/>
                <w:b/>
                <w:szCs w:val="20"/>
                <w:highlight w:val="green"/>
                <w:lang w:eastAsia="zh-CN"/>
              </w:rPr>
              <w:t>Agreement</w:t>
            </w:r>
          </w:p>
          <w:p>
            <w:pPr>
              <w:keepNext w:val="0"/>
              <w:keepLines w:val="0"/>
              <w:pageBreakBefore w:val="0"/>
              <w:widowControl/>
              <w:kinsoku/>
              <w:wordWrap/>
              <w:topLinePunct w:val="0"/>
              <w:bidi w:val="0"/>
              <w:spacing w:before="120" w:after="0" w:line="280" w:lineRule="atLeast"/>
              <w:rPr>
                <w:rFonts w:cs="Times"/>
                <w:szCs w:val="20"/>
                <w:lang w:eastAsia="zh-CN"/>
              </w:rPr>
            </w:pPr>
            <w:r>
              <w:rPr>
                <w:rFonts w:cs="Times"/>
                <w:szCs w:val="20"/>
                <w:lang w:eastAsia="zh-CN"/>
              </w:rPr>
              <w:t xml:space="preserve">For evaluation of the overall time synchronization error for RTT-based propagation delay compensation with Alt.1, it is assumed that </w:t>
            </w:r>
          </w:p>
          <w:p>
            <w:pPr>
              <w:pStyle w:val="114"/>
              <w:keepNext w:val="0"/>
              <w:keepLines w:val="0"/>
              <w:pageBreakBefore w:val="0"/>
              <w:widowControl/>
              <w:numPr>
                <w:ilvl w:val="0"/>
                <w:numId w:val="10"/>
              </w:numPr>
              <w:kinsoku/>
              <w:wordWrap/>
              <w:overflowPunct w:val="0"/>
              <w:topLinePunct w:val="0"/>
              <w:autoSpaceDE w:val="0"/>
              <w:autoSpaceDN w:val="0"/>
              <w:bidi w:val="0"/>
              <w:adjustRightInd w:val="0"/>
              <w:spacing w:before="120" w:after="0" w:line="280" w:lineRule="atLeast"/>
              <w:ind w:leftChars="0"/>
              <w:contextualSpacing/>
              <w:textAlignment w:val="baseline"/>
              <w:rPr>
                <w:iCs/>
                <w:lang w:eastAsia="zh-CN"/>
              </w:rPr>
            </w:pPr>
            <w:r>
              <w:rPr>
                <w:iCs/>
                <w:lang w:eastAsia="zh-CN"/>
              </w:rPr>
              <w:t xml:space="preserve">The UE Rx-Tx time difference measurement accuracy based on PRS defined in Table 10.1.25.2-2 in TS 38.133 </w:t>
            </w:r>
            <w:bookmarkStart w:id="4" w:name="OLE_LINK3"/>
            <w:r>
              <w:rPr>
                <w:iCs/>
                <w:lang w:eastAsia="zh-CN"/>
              </w:rPr>
              <w:t>v17.3.0</w:t>
            </w:r>
            <w:bookmarkEnd w:id="4"/>
            <w:r>
              <w:rPr>
                <w:iCs/>
                <w:lang w:eastAsia="zh-CN"/>
              </w:rPr>
              <w:t xml:space="preserve"> is taken as the reference for the UE Rx-Tx time difference measurement accuracy </w:t>
            </w:r>
          </w:p>
          <w:p>
            <w:pPr>
              <w:pStyle w:val="114"/>
              <w:keepNext w:val="0"/>
              <w:keepLines w:val="0"/>
              <w:pageBreakBefore w:val="0"/>
              <w:widowControl/>
              <w:numPr>
                <w:ilvl w:val="0"/>
                <w:numId w:val="10"/>
              </w:numPr>
              <w:kinsoku/>
              <w:wordWrap/>
              <w:overflowPunct w:val="0"/>
              <w:topLinePunct w:val="0"/>
              <w:autoSpaceDE w:val="0"/>
              <w:autoSpaceDN w:val="0"/>
              <w:bidi w:val="0"/>
              <w:adjustRightInd w:val="0"/>
              <w:spacing w:before="120" w:after="0" w:line="280" w:lineRule="atLeast"/>
              <w:ind w:leftChars="0"/>
              <w:contextualSpacing/>
              <w:textAlignment w:val="baseline"/>
              <w:rPr>
                <w:iCs/>
                <w:lang w:eastAsia="zh-CN"/>
              </w:rPr>
            </w:pPr>
            <w:r>
              <w:rPr>
                <w:iCs/>
                <w:lang w:eastAsia="zh-CN"/>
              </w:rPr>
              <w:t xml:space="preserve">The gNB Rx-Tx time difference accuracy based on SRS for positioning defined in Table 13.2.2.2-1 in TS 38.133 v17.3.0 is taken as the reference for the gNB Rx-Tx time difference accuracy based on SRS for PDC </w:t>
            </w:r>
          </w:p>
          <w:p>
            <w:pPr>
              <w:keepNext w:val="0"/>
              <w:keepLines w:val="0"/>
              <w:pageBreakBefore w:val="0"/>
              <w:widowControl/>
              <w:kinsoku/>
              <w:wordWrap/>
              <w:topLinePunct w:val="0"/>
              <w:bidi w:val="0"/>
              <w:spacing w:before="120" w:after="0" w:line="280" w:lineRule="atLeast"/>
              <w:rPr>
                <w:rFonts w:cs="Times"/>
                <w:i/>
                <w:iCs/>
                <w:szCs w:val="20"/>
              </w:rPr>
            </w:pPr>
          </w:p>
          <w:p>
            <w:pPr>
              <w:keepNext w:val="0"/>
              <w:keepLines w:val="0"/>
              <w:pageBreakBefore w:val="0"/>
              <w:widowControl/>
              <w:kinsoku/>
              <w:wordWrap/>
              <w:topLinePunct w:val="0"/>
              <w:bidi w:val="0"/>
              <w:spacing w:before="120" w:after="0" w:line="280" w:lineRule="atLeast"/>
              <w:rPr>
                <w:rFonts w:cs="Times"/>
                <w:b/>
                <w:szCs w:val="20"/>
                <w:highlight w:val="green"/>
                <w:lang w:eastAsia="zh-CN"/>
              </w:rPr>
            </w:pPr>
            <w:r>
              <w:rPr>
                <w:rFonts w:cs="Times"/>
                <w:b/>
                <w:szCs w:val="20"/>
                <w:highlight w:val="green"/>
                <w:lang w:eastAsia="zh-CN"/>
              </w:rPr>
              <w:t>Agreement</w:t>
            </w:r>
          </w:p>
          <w:p>
            <w:pPr>
              <w:keepNext w:val="0"/>
              <w:keepLines w:val="0"/>
              <w:pageBreakBefore w:val="0"/>
              <w:widowControl/>
              <w:kinsoku/>
              <w:wordWrap/>
              <w:topLinePunct w:val="0"/>
              <w:bidi w:val="0"/>
              <w:spacing w:before="120" w:after="0" w:line="280" w:lineRule="atLeast"/>
              <w:rPr>
                <w:rFonts w:cs="Times"/>
                <w:szCs w:val="20"/>
                <w:lang w:eastAsia="zh-CN"/>
              </w:rPr>
            </w:pPr>
            <w:r>
              <w:rPr>
                <w:rFonts w:cs="Times"/>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pPr>
              <w:keepNext w:val="0"/>
              <w:keepLines w:val="0"/>
              <w:pageBreakBefore w:val="0"/>
              <w:widowControl/>
              <w:kinsoku/>
              <w:wordWrap/>
              <w:topLinePunct w:val="0"/>
              <w:bidi w:val="0"/>
              <w:spacing w:before="120" w:after="0" w:line="280" w:lineRule="atLeast"/>
              <w:rPr>
                <w:rFonts w:cs="Times"/>
                <w:szCs w:val="20"/>
                <w:lang w:eastAsia="zh-CN"/>
              </w:rPr>
            </w:pPr>
            <w:r>
              <w:rPr>
                <w:rFonts w:cs="Times"/>
                <w:color w:val="1F497D"/>
                <w:szCs w:val="20"/>
                <w:lang w:eastAsia="zh-CN"/>
              </w:rPr>
              <w:t> </w:t>
            </w:r>
          </w:p>
          <w:p>
            <w:pPr>
              <w:keepNext w:val="0"/>
              <w:keepLines w:val="0"/>
              <w:pageBreakBefore w:val="0"/>
              <w:widowControl/>
              <w:kinsoku/>
              <w:wordWrap/>
              <w:topLinePunct w:val="0"/>
              <w:bidi w:val="0"/>
              <w:spacing w:before="120" w:after="0" w:line="280" w:lineRule="atLeast"/>
              <w:rPr>
                <w:rFonts w:cs="Times"/>
                <w:b/>
                <w:szCs w:val="20"/>
                <w:highlight w:val="green"/>
                <w:lang w:eastAsia="zh-CN"/>
              </w:rPr>
            </w:pPr>
            <w:r>
              <w:rPr>
                <w:rFonts w:cs="Times"/>
                <w:b/>
                <w:szCs w:val="20"/>
                <w:highlight w:val="green"/>
                <w:lang w:eastAsia="zh-CN"/>
              </w:rPr>
              <w:t>Agreement</w:t>
            </w:r>
          </w:p>
          <w:p>
            <w:pPr>
              <w:keepNext w:val="0"/>
              <w:keepLines w:val="0"/>
              <w:pageBreakBefore w:val="0"/>
              <w:widowControl/>
              <w:kinsoku/>
              <w:wordWrap/>
              <w:topLinePunct w:val="0"/>
              <w:bidi w:val="0"/>
              <w:spacing w:before="120" w:after="0" w:line="280" w:lineRule="atLeast"/>
              <w:rPr>
                <w:rFonts w:cs="Times"/>
                <w:szCs w:val="20"/>
                <w:lang w:eastAsia="zh-CN"/>
              </w:rPr>
            </w:pPr>
            <w:r>
              <w:rPr>
                <w:rFonts w:cs="Times"/>
                <w:bCs/>
                <w:szCs w:val="20"/>
                <w:lang w:eastAsia="zh-CN"/>
              </w:rPr>
              <w:t xml:space="preserve">If RTT-based propagation delay compensation is supported and performed at the gNB side, the Rx-Tx measurement report provided from the UE to the gNB should include at least:  </w:t>
            </w:r>
          </w:p>
          <w:p>
            <w:pPr>
              <w:pStyle w:val="114"/>
              <w:keepNext w:val="0"/>
              <w:keepLines w:val="0"/>
              <w:pageBreakBefore w:val="0"/>
              <w:widowControl/>
              <w:numPr>
                <w:ilvl w:val="0"/>
                <w:numId w:val="10"/>
              </w:numPr>
              <w:kinsoku/>
              <w:wordWrap/>
              <w:overflowPunct w:val="0"/>
              <w:topLinePunct w:val="0"/>
              <w:autoSpaceDE w:val="0"/>
              <w:autoSpaceDN w:val="0"/>
              <w:bidi w:val="0"/>
              <w:adjustRightInd w:val="0"/>
              <w:spacing w:before="120" w:after="0" w:line="280" w:lineRule="atLeast"/>
              <w:ind w:leftChars="0"/>
              <w:contextualSpacing/>
              <w:textAlignment w:val="baseline"/>
              <w:rPr>
                <w:iCs/>
                <w:lang w:eastAsia="zh-CN"/>
              </w:rPr>
            </w:pPr>
            <w:r>
              <w:rPr>
                <w:iCs/>
                <w:lang w:eastAsia="zh-CN"/>
              </w:rPr>
              <w:t>UE Rx-Tx time difference at a given granularity</w:t>
            </w:r>
          </w:p>
          <w:p>
            <w:pPr>
              <w:keepNext w:val="0"/>
              <w:keepLines w:val="0"/>
              <w:pageBreakBefore w:val="0"/>
              <w:widowControl/>
              <w:kinsoku/>
              <w:wordWrap/>
              <w:topLinePunct w:val="0"/>
              <w:bidi w:val="0"/>
              <w:spacing w:before="120" w:after="0" w:line="280" w:lineRule="atLeast"/>
              <w:rPr>
                <w:rFonts w:eastAsia="Malgun Gothic" w:cs="Times"/>
                <w:szCs w:val="20"/>
                <w:lang w:eastAsia="zh-CN"/>
              </w:rPr>
            </w:pPr>
            <w:r>
              <w:rPr>
                <w:rFonts w:cs="Times"/>
                <w:color w:val="1F497D"/>
                <w:szCs w:val="20"/>
                <w:lang w:eastAsia="zh-CN"/>
              </w:rPr>
              <w:t> </w:t>
            </w:r>
          </w:p>
          <w:p>
            <w:pPr>
              <w:keepNext w:val="0"/>
              <w:keepLines w:val="0"/>
              <w:pageBreakBefore w:val="0"/>
              <w:widowControl/>
              <w:kinsoku/>
              <w:wordWrap/>
              <w:topLinePunct w:val="0"/>
              <w:bidi w:val="0"/>
              <w:spacing w:before="120" w:after="0" w:line="280" w:lineRule="atLeast"/>
              <w:rPr>
                <w:rFonts w:cs="Times"/>
                <w:b/>
                <w:bCs/>
                <w:szCs w:val="20"/>
                <w:lang w:eastAsia="zh-CN"/>
              </w:rPr>
            </w:pPr>
            <w:r>
              <w:rPr>
                <w:rFonts w:cs="Times"/>
                <w:b/>
                <w:bCs/>
                <w:szCs w:val="20"/>
                <w:lang w:eastAsia="zh-CN"/>
              </w:rPr>
              <w:t>Conclusion</w:t>
            </w:r>
          </w:p>
          <w:p>
            <w:pPr>
              <w:keepNext w:val="0"/>
              <w:keepLines w:val="0"/>
              <w:pageBreakBefore w:val="0"/>
              <w:widowControl/>
              <w:kinsoku/>
              <w:wordWrap/>
              <w:topLinePunct w:val="0"/>
              <w:bidi w:val="0"/>
              <w:spacing w:before="120" w:after="0" w:line="280" w:lineRule="atLeast"/>
              <w:rPr>
                <w:rFonts w:cs="Times"/>
                <w:szCs w:val="20"/>
                <w:lang w:eastAsia="zh-CN"/>
              </w:rPr>
            </w:pPr>
            <w:r>
              <w:rPr>
                <w:rFonts w:cs="Times"/>
                <w:bCs/>
                <w:szCs w:val="20"/>
                <w:lang w:eastAsia="zh-CN"/>
              </w:rPr>
              <w:t>When evaluating enhanced TA-based PDC, there is no need to replace Te by TA adjustment error.</w:t>
            </w:r>
          </w:p>
          <w:p>
            <w:pPr>
              <w:keepNext w:val="0"/>
              <w:keepLines w:val="0"/>
              <w:pageBreakBefore w:val="0"/>
              <w:widowControl/>
              <w:kinsoku/>
              <w:wordWrap/>
              <w:topLinePunct w:val="0"/>
              <w:bidi w:val="0"/>
              <w:spacing w:before="120" w:after="0" w:line="280" w:lineRule="atLeast"/>
              <w:rPr>
                <w:rFonts w:cs="Times"/>
                <w:i/>
                <w:iCs/>
                <w:szCs w:val="20"/>
              </w:rPr>
            </w:pPr>
          </w:p>
          <w:p>
            <w:pPr>
              <w:keepNext w:val="0"/>
              <w:keepLines w:val="0"/>
              <w:pageBreakBefore w:val="0"/>
              <w:widowControl/>
              <w:kinsoku/>
              <w:wordWrap/>
              <w:topLinePunct w:val="0"/>
              <w:bidi w:val="0"/>
              <w:spacing w:before="120" w:after="0" w:line="280" w:lineRule="atLeast"/>
              <w:rPr>
                <w:rFonts w:cs="Times"/>
                <w:szCs w:val="20"/>
              </w:rPr>
            </w:pPr>
            <w:r>
              <w:rPr>
                <w:rFonts w:cs="Times"/>
                <w:b/>
                <w:szCs w:val="20"/>
              </w:rPr>
              <w:t>R1-2110558</w:t>
            </w:r>
            <w:r>
              <w:rPr>
                <w:rFonts w:cs="Times"/>
                <w:szCs w:val="20"/>
              </w:rPr>
              <w:tab/>
            </w:r>
            <w:r>
              <w:rPr>
                <w:rFonts w:cs="Times"/>
                <w:szCs w:val="20"/>
              </w:rPr>
              <w:t>Feature lead summary#3 on propagation delay compensation enhancements</w:t>
            </w:r>
            <w:r>
              <w:rPr>
                <w:rFonts w:cs="Times"/>
                <w:szCs w:val="20"/>
              </w:rPr>
              <w:tab/>
            </w:r>
            <w:r>
              <w:rPr>
                <w:rFonts w:cs="Times"/>
                <w:szCs w:val="20"/>
              </w:rPr>
              <w:t>Moderator (Huawei)</w:t>
            </w:r>
          </w:p>
          <w:p>
            <w:pPr>
              <w:keepNext w:val="0"/>
              <w:keepLines w:val="0"/>
              <w:pageBreakBefore w:val="0"/>
              <w:widowControl/>
              <w:kinsoku/>
              <w:wordWrap/>
              <w:topLinePunct w:val="0"/>
              <w:bidi w:val="0"/>
              <w:spacing w:before="120" w:after="0" w:line="280" w:lineRule="atLeast"/>
              <w:rPr>
                <w:rFonts w:cs="Times"/>
                <w:i/>
                <w:iCs/>
                <w:szCs w:val="20"/>
              </w:rPr>
            </w:pPr>
          </w:p>
          <w:p>
            <w:pPr>
              <w:keepNext w:val="0"/>
              <w:keepLines w:val="0"/>
              <w:pageBreakBefore w:val="0"/>
              <w:widowControl/>
              <w:kinsoku/>
              <w:wordWrap/>
              <w:topLinePunct w:val="0"/>
              <w:bidi w:val="0"/>
              <w:spacing w:before="120" w:after="0" w:line="280" w:lineRule="atLeast"/>
              <w:rPr>
                <w:b/>
                <w:i/>
                <w:highlight w:val="green"/>
                <w:lang w:eastAsia="zh-CN"/>
              </w:rPr>
            </w:pPr>
            <w:r>
              <w:rPr>
                <w:b/>
                <w:highlight w:val="green"/>
                <w:lang w:eastAsia="zh-CN"/>
              </w:rPr>
              <w:t>Agreement</w:t>
            </w:r>
          </w:p>
          <w:p>
            <w:pPr>
              <w:keepNext w:val="0"/>
              <w:keepLines w:val="0"/>
              <w:pageBreakBefore w:val="0"/>
              <w:widowControl/>
              <w:kinsoku/>
              <w:wordWrap/>
              <w:topLinePunct w:val="0"/>
              <w:bidi w:val="0"/>
              <w:spacing w:before="120" w:after="0" w:line="280" w:lineRule="atLeast"/>
            </w:pPr>
            <w:r>
              <w:t xml:space="preserve">Send an LS to RAN2 and CC RAN4 with the content including: </w:t>
            </w:r>
            <w:r>
              <w:rPr>
                <w:lang w:eastAsia="zh-CN"/>
              </w:rPr>
              <w:t xml:space="preserve"> </w:t>
            </w:r>
          </w:p>
          <w:p>
            <w:pPr>
              <w:pStyle w:val="114"/>
              <w:keepNext w:val="0"/>
              <w:keepLines w:val="0"/>
              <w:pageBreakBefore w:val="0"/>
              <w:widowControl/>
              <w:numPr>
                <w:ilvl w:val="0"/>
                <w:numId w:val="11"/>
              </w:numPr>
              <w:kinsoku/>
              <w:wordWrap/>
              <w:topLinePunct w:val="0"/>
              <w:bidi w:val="0"/>
              <w:spacing w:before="120" w:after="0" w:line="280" w:lineRule="atLeast"/>
              <w:ind w:leftChars="0"/>
              <w:contextualSpacing/>
              <w:rPr>
                <w:bCs/>
              </w:rPr>
            </w:pPr>
            <w:r>
              <w:rPr>
                <w:bCs/>
              </w:rPr>
              <w:t xml:space="preserve">The latest available status on PDC methods in RAN1, e.g. key agreements achieved for TA-based PDC and RTT-based PDC. </w:t>
            </w:r>
          </w:p>
          <w:p>
            <w:pPr>
              <w:keepNext w:val="0"/>
              <w:keepLines w:val="0"/>
              <w:pageBreakBefore w:val="0"/>
              <w:widowControl/>
              <w:kinsoku/>
              <w:wordWrap/>
              <w:topLinePunct w:val="0"/>
              <w:bidi w:val="0"/>
              <w:spacing w:before="120" w:after="0" w:line="280" w:lineRule="atLeast"/>
              <w:rPr>
                <w:rFonts w:cs="Times"/>
                <w:iCs/>
                <w:szCs w:val="20"/>
              </w:rPr>
            </w:pPr>
            <w:r>
              <w:rPr>
                <w:rFonts w:cs="Times"/>
                <w:iCs/>
                <w:szCs w:val="20"/>
              </w:rPr>
              <w:t xml:space="preserve">LS is endorsed in </w:t>
            </w:r>
            <w:r>
              <w:rPr>
                <w:rFonts w:cs="Times"/>
                <w:iCs/>
                <w:szCs w:val="20"/>
                <w:highlight w:val="green"/>
              </w:rPr>
              <w:t>R1-2110647</w:t>
            </w:r>
            <w:r>
              <w:rPr>
                <w:rFonts w:cs="Times"/>
                <w:iCs/>
                <w:szCs w:val="20"/>
              </w:rPr>
              <w:t>.</w:t>
            </w:r>
          </w:p>
          <w:p>
            <w:pPr>
              <w:keepNext w:val="0"/>
              <w:keepLines w:val="0"/>
              <w:pageBreakBefore w:val="0"/>
              <w:widowControl/>
              <w:kinsoku/>
              <w:wordWrap/>
              <w:topLinePunct w:val="0"/>
              <w:bidi w:val="0"/>
              <w:spacing w:before="120" w:after="0" w:line="280" w:lineRule="atLeast"/>
              <w:rPr>
                <w:rFonts w:cs="Times"/>
                <w:i/>
                <w:iCs/>
                <w:szCs w:val="20"/>
              </w:rPr>
            </w:pPr>
          </w:p>
          <w:p>
            <w:pPr>
              <w:keepNext w:val="0"/>
              <w:keepLines w:val="0"/>
              <w:pageBreakBefore w:val="0"/>
              <w:widowControl/>
              <w:kinsoku/>
              <w:wordWrap/>
              <w:topLinePunct w:val="0"/>
              <w:bidi w:val="0"/>
              <w:spacing w:before="120" w:after="0" w:line="280" w:lineRule="atLeast"/>
              <w:rPr>
                <w:b/>
                <w:i/>
                <w:highlight w:val="green"/>
                <w:lang w:eastAsia="zh-CN"/>
              </w:rPr>
            </w:pPr>
            <w:r>
              <w:rPr>
                <w:b/>
                <w:highlight w:val="green"/>
                <w:lang w:eastAsia="zh-CN"/>
              </w:rPr>
              <w:t>Agreement</w:t>
            </w:r>
          </w:p>
          <w:p>
            <w:pPr>
              <w:keepNext w:val="0"/>
              <w:keepLines w:val="0"/>
              <w:pageBreakBefore w:val="0"/>
              <w:widowControl/>
              <w:kinsoku/>
              <w:wordWrap/>
              <w:topLinePunct w:val="0"/>
              <w:bidi w:val="0"/>
              <w:spacing w:before="120" w:after="0" w:line="280" w:lineRule="atLeast"/>
              <w:rPr>
                <w:lang w:eastAsia="zh-CN"/>
              </w:rPr>
            </w:pPr>
            <w:r>
              <w:rPr>
                <w:lang w:eastAsia="zh-CN"/>
              </w:rPr>
              <w:t xml:space="preserve">For evaluation and comparison of enhanced TA-based PDC and RTT-based PDC, the timing detection error = 0.5/(RS BW) = 0.5/(N_PRB*12*SCS) can be used to achieve </w:t>
            </w:r>
            <w:r>
              <w:rPr>
                <w:lang w:eastAsia="zh-CN"/>
              </w:rPr>
              <w:fldChar w:fldCharType="begin"/>
            </w:r>
            <w:r>
              <w:rPr>
                <w:lang w:eastAsia="zh-CN"/>
              </w:rPr>
              <w:instrText xml:space="preserve"> QUOTE </w:instrText>
            </w:r>
            <w:r>
              <w:rPr>
                <w:position w:val="-6"/>
              </w:rPr>
              <w:pict>
                <v:shape id="_x0000_i1025" o:spt="75" type="#_x0000_t75" style="height:12.75pt;width:59.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0283&quot;/&gt;&lt;wsp:rsid wsp:val=&quot;00081DD2&quot;/&gt;&lt;wsp:rsid wsp:val=&quot;00083539&quot;/&gt;&lt;wsp:rsid wsp:val=&quot;00084952&quot;/&gt;&lt;wsp:rsid wsp:val=&quot;000906E0&quot;/&gt;&lt;wsp:rsid wsp:val=&quot;00091C4B&quot;/&gt;&lt;wsp:rsid wsp:val=&quot;00092578&quot;/&gt;&lt;wsp:rsid wsp:val=&quot;00096EAD&quot;/&gt;&lt;wsp:rsid wsp:val=&quot;000A1554&quot;/&gt;&lt;wsp:rsid wsp:val=&quot;000A7FA1&quot;/&gt;&lt;wsp:rsid wsp:val=&quot;000B08A5&quot;/&gt;&lt;wsp:rsid wsp:val=&quot;000B283D&quot;/&gt;&lt;wsp:rsid wsp:val=&quot;000B4259&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908DD&quot;/&gt;&lt;wsp:rsid wsp:val=&quot;00293341&quot;/&gt;&lt;wsp:rsid wsp:val=&quot;00293C36&quot;/&gt;&lt;wsp:rsid wsp:val=&quot;002A16D8&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3E09&quot;/&gt;&lt;wsp:rsid wsp:val=&quot;005F682E&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E4523&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B7C31&quot;/&gt;&lt;wsp:rsid wsp:val=&quot;007C2F4E&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23F2&quot;/&gt;&lt;wsp:rsid wsp:val=&quot;00863550&quot;/&gt;&lt;wsp:rsid wsp:val=&quot;00867327&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3FD3&quot;/&gt;&lt;wsp:rsid wsp:val=&quot;00954008&quot;/&gt;&lt;wsp:rsid wsp:val=&quot;00956B57&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D4AD9&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5F1C&quot;/&gt;&lt;wsp:rsid wsp:val=&quot;00CC05B3&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5B6&quot;/&gt;&lt;wsp:rsid wsp:val=&quot;00D2550C&quot;/&gt;&lt;wsp:rsid wsp:val=&quot;00D2655F&quot;/&gt;&lt;wsp:rsid wsp:val=&quot;00D52E5D&quot;/&gt;&lt;wsp:rsid wsp:val=&quot;00D56105&quot;/&gt;&lt;wsp:rsid wsp:val=&quot;00D5618A&quot;/&gt;&lt;wsp:rsid wsp:val=&quot;00D574E0&quot;/&gt;&lt;wsp:rsid wsp:val=&quot;00D650A4&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DFF&quot;/&gt;&lt;wsp:rsid wsp:val=&quot;00F724AE&quot;/&gt;&lt;wsp:rsid wsp:val=&quot;00F75A1E&quot;/&gt;&lt;wsp:rsid wsp:val=&quot;00F808B3&quot;/&gt;&lt;wsp:rsid wsp:val=&quot;00F81F79&quot;/&gt;&lt;wsp:rsid wsp:val=&quot;00F83D68&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AD4AD9&quot; wsp:rsidP=&quot;00AD4AD9&quot;&gt;&lt;m:oMathPara&gt;&lt;m:oMath&gt;&lt;m:r&gt;&lt;m:rPr&gt;&lt;m:sty m:val=&quot;bi&quot;/&gt;&lt;/m:rPr&gt;&lt;w:rPr&gt;&lt;w:rFonts w:ascii=&quot;Cambria Math&quot; w:h-ansi=&quot;Cambria Math&quot;/&gt;&lt;wx:font wx:val=&quot;Cambria Math&quot;/&gt;&lt;w:b/&gt;&lt;w:i/&gt;&lt;w:color w:val=&quot;000000&quot;/&gt;&lt;/w:rPr&gt;&lt;m:t&gt;er&lt;/m:t&gt;&lt;/m:r&gt;&lt;m:sSub&gt;&lt;m:sSubPr&gt;&lt;m:ctrlPr&gt;&lt;w:rPr&gt;&lt;w:rFonts w:ascii=&quot;Cambria Math&quot; w:fareast=&quot;Malgun Gothic&quot; w:h-ansi=&quot;Cambria Math&quot;/&gt;&lt;wx:font wx:val=&quot;Cambria Math&quot;/&gt;&lt;w:b/&gt;&lt;w:i/&gt;&lt;w:i-cs/&gt;&lt;w:color w:val=&quot;000000&quot;/&gt;&lt;/w:rPr&gt;&lt;/m:ctrlPr&gt;&lt;/m:sSubPr&gt;&lt;m:e&gt;&lt;m:r&gt;&lt;m:rPr&gt;&lt;m:sty m:val=&quot;bi&quot;/&gt;&lt;/m:rPr&gt;&lt;w:rPr&gt;&lt;w:rFonts w:ascii=&quot;Cambria Math&quot; w:h-ansi=&quot;Cambria Math&quot;/&gt;&lt;wx:font wx:val=&quot;Cambria Math&quot;/&gt;&lt;w:b/&gt;&lt;w:i/&gt;&lt;w:color w:val=&quot;000000&quot;/&gt;&lt;/w:rPr&gt;&lt;m:t&gt;ror&lt;/m:t&gt;&lt;/m:r&gt;&lt;/m:e&gt;&lt;m:sub&gt;&lt;m:r&gt;&lt;m:rPr&gt;&lt;m:sty m:val=&quot;bi&quot;/&gt;&lt;/m:rPr&gt;&lt;w:rPr&gt;&lt;w:rFonts w:ascii=&quot;Cambria Math&quot; w:h-ansi=&quot;Cambria Math&quot;/&gt;&lt;wx:font wx:val=&quot;Cambria Math&quot;/&gt;&lt;w:b/&gt;&lt;w:i/&gt;&lt;w:color w:val=&quot;000000&quot;/&gt;&lt;/w:rPr&gt;&lt;m:t&gt;UE,DL,R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lang w:eastAsia="zh-CN"/>
              </w:rPr>
              <w:instrText xml:space="preserve"> </w:instrText>
            </w:r>
            <w:r>
              <w:rPr>
                <w:lang w:eastAsia="zh-CN"/>
              </w:rPr>
              <w:fldChar w:fldCharType="separate"/>
            </w:r>
            <w:r>
              <w:rPr>
                <w:position w:val="-6"/>
              </w:rPr>
              <w:pict>
                <v:shape id="_x0000_i1026" o:spt="75" type="#_x0000_t75" style="height:12.75pt;width:59.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0283&quot;/&gt;&lt;wsp:rsid wsp:val=&quot;00081DD2&quot;/&gt;&lt;wsp:rsid wsp:val=&quot;00083539&quot;/&gt;&lt;wsp:rsid wsp:val=&quot;00084952&quot;/&gt;&lt;wsp:rsid wsp:val=&quot;000906E0&quot;/&gt;&lt;wsp:rsid wsp:val=&quot;00091C4B&quot;/&gt;&lt;wsp:rsid wsp:val=&quot;00092578&quot;/&gt;&lt;wsp:rsid wsp:val=&quot;00096EAD&quot;/&gt;&lt;wsp:rsid wsp:val=&quot;000A1554&quot;/&gt;&lt;wsp:rsid wsp:val=&quot;000A7FA1&quot;/&gt;&lt;wsp:rsid wsp:val=&quot;000B08A5&quot;/&gt;&lt;wsp:rsid wsp:val=&quot;000B283D&quot;/&gt;&lt;wsp:rsid wsp:val=&quot;000B4259&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908DD&quot;/&gt;&lt;wsp:rsid wsp:val=&quot;00293341&quot;/&gt;&lt;wsp:rsid wsp:val=&quot;00293C36&quot;/&gt;&lt;wsp:rsid wsp:val=&quot;002A16D8&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3E09&quot;/&gt;&lt;wsp:rsid wsp:val=&quot;005F682E&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E4523&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B7C31&quot;/&gt;&lt;wsp:rsid wsp:val=&quot;007C2F4E&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23F2&quot;/&gt;&lt;wsp:rsid wsp:val=&quot;00863550&quot;/&gt;&lt;wsp:rsid wsp:val=&quot;00867327&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3FD3&quot;/&gt;&lt;wsp:rsid wsp:val=&quot;00954008&quot;/&gt;&lt;wsp:rsid wsp:val=&quot;00956B57&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D4AD9&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5F1C&quot;/&gt;&lt;wsp:rsid wsp:val=&quot;00CC05B3&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5B6&quot;/&gt;&lt;wsp:rsid wsp:val=&quot;00D2550C&quot;/&gt;&lt;wsp:rsid wsp:val=&quot;00D2655F&quot;/&gt;&lt;wsp:rsid wsp:val=&quot;00D52E5D&quot;/&gt;&lt;wsp:rsid wsp:val=&quot;00D56105&quot;/&gt;&lt;wsp:rsid wsp:val=&quot;00D5618A&quot;/&gt;&lt;wsp:rsid wsp:val=&quot;00D574E0&quot;/&gt;&lt;wsp:rsid wsp:val=&quot;00D650A4&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DFF&quot;/&gt;&lt;wsp:rsid wsp:val=&quot;00F724AE&quot;/&gt;&lt;wsp:rsid wsp:val=&quot;00F75A1E&quot;/&gt;&lt;wsp:rsid wsp:val=&quot;00F808B3&quot;/&gt;&lt;wsp:rsid wsp:val=&quot;00F81F79&quot;/&gt;&lt;wsp:rsid wsp:val=&quot;00F83D68&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AD4AD9&quot; wsp:rsidP=&quot;00AD4AD9&quot;&gt;&lt;m:oMathPara&gt;&lt;m:oMath&gt;&lt;m:r&gt;&lt;m:rPr&gt;&lt;m:sty m:val=&quot;bi&quot;/&gt;&lt;/m:rPr&gt;&lt;w:rPr&gt;&lt;w:rFonts w:ascii=&quot;Cambria Math&quot; w:h-ansi=&quot;Cambria Math&quot;/&gt;&lt;wx:font wx:val=&quot;Cambria Math&quot;/&gt;&lt;w:b/&gt;&lt;w:i/&gt;&lt;w:color w:val=&quot;000000&quot;/&gt;&lt;/w:rPr&gt;&lt;m:t&gt;er&lt;/m:t&gt;&lt;/m:r&gt;&lt;m:sSub&gt;&lt;m:sSubPr&gt;&lt;m:ctrlPr&gt;&lt;w:rPr&gt;&lt;w:rFonts w:ascii=&quot;Cambria Math&quot; w:fareast=&quot;Malgun Gothic&quot; w:h-ansi=&quot;Cambria Math&quot;/&gt;&lt;wx:font wx:val=&quot;Cambria Math&quot;/&gt;&lt;w:b/&gt;&lt;w:i/&gt;&lt;w:i-cs/&gt;&lt;w:color w:val=&quot;000000&quot;/&gt;&lt;/w:rPr&gt;&lt;/m:ctrlPr&gt;&lt;/m:sSubPr&gt;&lt;m:e&gt;&lt;m:r&gt;&lt;m:rPr&gt;&lt;m:sty m:val=&quot;bi&quot;/&gt;&lt;/m:rPr&gt;&lt;w:rPr&gt;&lt;w:rFonts w:ascii=&quot;Cambria Math&quot; w:h-ansi=&quot;Cambria Math&quot;/&gt;&lt;wx:font wx:val=&quot;Cambria Math&quot;/&gt;&lt;w:b/&gt;&lt;w:i/&gt;&lt;w:color w:val=&quot;000000&quot;/&gt;&lt;/w:rPr&gt;&lt;m:t&gt;ror&lt;/m:t&gt;&lt;/m:r&gt;&lt;/m:e&gt;&lt;m:sub&gt;&lt;m:r&gt;&lt;m:rPr&gt;&lt;m:sty m:val=&quot;bi&quot;/&gt;&lt;/m:rPr&gt;&lt;w:rPr&gt;&lt;w:rFonts w:ascii=&quot;Cambria Math&quot; w:h-ansi=&quot;Cambria Math&quot;/&gt;&lt;wx:font wx:val=&quot;Cambria Math&quot;/&gt;&lt;w:b/&gt;&lt;w:i/&gt;&lt;w:color w:val=&quot;000000&quot;/&gt;&lt;/w:rPr&gt;&lt;m:t&gt;UE,DL,R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lang w:eastAsia="zh-CN"/>
              </w:rPr>
              <w:fldChar w:fldCharType="end"/>
            </w:r>
            <w:r>
              <w:rPr>
                <w:lang w:eastAsia="zh-CN"/>
              </w:rPr>
              <w:t xml:space="preserve"> and </w:t>
            </w:r>
            <w:r>
              <w:rPr>
                <w:lang w:eastAsia="zh-CN"/>
              </w:rPr>
              <w:fldChar w:fldCharType="begin"/>
            </w:r>
            <w:r>
              <w:rPr>
                <w:lang w:eastAsia="zh-CN"/>
              </w:rPr>
              <w:instrText xml:space="preserve"> QUOTE </w:instrText>
            </w:r>
            <w:r>
              <w:rPr>
                <w:position w:val="-6"/>
              </w:rPr>
              <w:pict>
                <v:shape id="_x0000_i1027" o:spt="75" type="#_x0000_t75" style="height:12.75pt;width:5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0283&quot;/&gt;&lt;wsp:rsid wsp:val=&quot;00081DD2&quot;/&gt;&lt;wsp:rsid wsp:val=&quot;00083539&quot;/&gt;&lt;wsp:rsid wsp:val=&quot;00084952&quot;/&gt;&lt;wsp:rsid wsp:val=&quot;000906E0&quot;/&gt;&lt;wsp:rsid wsp:val=&quot;00091C4B&quot;/&gt;&lt;wsp:rsid wsp:val=&quot;00092578&quot;/&gt;&lt;wsp:rsid wsp:val=&quot;00096EAD&quot;/&gt;&lt;wsp:rsid wsp:val=&quot;000A1554&quot;/&gt;&lt;wsp:rsid wsp:val=&quot;000A7FA1&quot;/&gt;&lt;wsp:rsid wsp:val=&quot;000B08A5&quot;/&gt;&lt;wsp:rsid wsp:val=&quot;000B283D&quot;/&gt;&lt;wsp:rsid wsp:val=&quot;000B4259&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908DD&quot;/&gt;&lt;wsp:rsid wsp:val=&quot;00293341&quot;/&gt;&lt;wsp:rsid wsp:val=&quot;00293C36&quot;/&gt;&lt;wsp:rsid wsp:val=&quot;002A16D8&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3E09&quot;/&gt;&lt;wsp:rsid wsp:val=&quot;005F682E&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E4523&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B7C31&quot;/&gt;&lt;wsp:rsid wsp:val=&quot;007C2F4E&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23F2&quot;/&gt;&lt;wsp:rsid wsp:val=&quot;00863550&quot;/&gt;&lt;wsp:rsid wsp:val=&quot;00867327&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3FD3&quot;/&gt;&lt;wsp:rsid wsp:val=&quot;00954008&quot;/&gt;&lt;wsp:rsid wsp:val=&quot;00956B57&quot;/&gt;&lt;wsp:rsid wsp:val=&quot;009629D9&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5F1C&quot;/&gt;&lt;wsp:rsid wsp:val=&quot;00CC05B3&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5B6&quot;/&gt;&lt;wsp:rsid wsp:val=&quot;00D2550C&quot;/&gt;&lt;wsp:rsid wsp:val=&quot;00D2655F&quot;/&gt;&lt;wsp:rsid wsp:val=&quot;00D52E5D&quot;/&gt;&lt;wsp:rsid wsp:val=&quot;00D56105&quot;/&gt;&lt;wsp:rsid wsp:val=&quot;00D5618A&quot;/&gt;&lt;wsp:rsid wsp:val=&quot;00D574E0&quot;/&gt;&lt;wsp:rsid wsp:val=&quot;00D650A4&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DFF&quot;/&gt;&lt;wsp:rsid wsp:val=&quot;00F724AE&quot;/&gt;&lt;wsp:rsid wsp:val=&quot;00F75A1E&quot;/&gt;&lt;wsp:rsid wsp:val=&quot;00F808B3&quot;/&gt;&lt;wsp:rsid wsp:val=&quot;00F81F79&quot;/&gt;&lt;wsp:rsid wsp:val=&quot;00F83D68&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9629D9&quot; wsp:rsidP=&quot;009629D9&quot;&gt;&lt;m:oMathPara&gt;&lt;m:oMath&gt;&lt;m:r&gt;&lt;m:rPr&gt;&lt;m:sty m:val=&quot;bi&quot;/&gt;&lt;/m:rPr&gt;&lt;w:rPr&gt;&lt;w:rFonts w:ascii=&quot;Cambria Math&quot; w:h-ansi=&quot;Cambria Math&quot;/&gt;&lt;wx:font wx:val=&quot;Cambria Math&quot;/&gt;&lt;w:b/&gt;&lt;w:i/&gt;&lt;w:color w:val=&quot;000000&quot;/&gt;&lt;/w:rPr&gt;&lt;m:t&gt;er&lt;/m:t&gt;&lt;/m:r&gt;&lt;m:sSub&gt;&lt;m:sSubPr&gt;&lt;m:ctrlPr&gt;&lt;w:rPr&gt;&lt;w:rFonts w:ascii=&quot;Cambria Math&quot; w:fareast=&quot;Malgun Gothic&quot; w:h-ansi=&quot;Cambria Math&quot;/&gt;&lt;wx:font wx:val=&quot;Cambria Math&quot;/&gt;&lt;w:b/&gt;&lt;w:i/&gt;&lt;w:i-cs/&gt;&lt;w:color w:val=&quot;000000&quot;/&gt;&lt;/w:rPr&gt;&lt;/m:ctrlPr&gt;&lt;/m:sSubPr&gt;&lt;m:e&gt;&lt;m:r&gt;&lt;m:rPr&gt;&lt;m:sty m:val=&quot;bi&quot;/&gt;&lt;/m:rPr&gt;&lt;w:rPr&gt;&lt;w:rFonts w:ascii=&quot;Cambria Math&quot; w:h-ansi=&quot;Cambria Math&quot;/&gt;&lt;wx:font wx:val=&quot;Cambria Math&quot;/&gt;&lt;w:b/&gt;&lt;w:i/&gt;&lt;w:color w:val=&quot;000000&quot;/&gt;&lt;/w:rPr&gt;&lt;m:t&gt;ror&lt;/m:t&gt;&lt;/m:r&gt;&lt;/m:e&gt;&lt;m:sub&gt;&lt;m:r&gt;&lt;m:rPr&gt;&lt;m:sty m:val=&quot;bi&quot;/&gt;&lt;/m:rPr&gt;&lt;w:rPr&gt;&lt;w:rFonts w:ascii=&quot;Cambria Math&quot; w:h-ansi=&quot;Cambria Math&quot;/&gt;&lt;wx:font wx:val=&quot;Cambria Math&quot;/&gt;&lt;w:b/&gt;&lt;w:i/&gt;&lt;w:color w:val=&quot;000000&quot;/&gt;&lt;/w:rPr&gt;&lt;m:t&gt;BS,UL,R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lang w:eastAsia="zh-CN"/>
              </w:rPr>
              <w:instrText xml:space="preserve"> </w:instrText>
            </w:r>
            <w:r>
              <w:rPr>
                <w:lang w:eastAsia="zh-CN"/>
              </w:rPr>
              <w:fldChar w:fldCharType="separate"/>
            </w:r>
            <w:r>
              <w:rPr>
                <w:position w:val="-6"/>
              </w:rPr>
              <w:pict>
                <v:shape id="_x0000_i1028" o:spt="75" type="#_x0000_t75" style="height:12.75pt;width:5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0283&quot;/&gt;&lt;wsp:rsid wsp:val=&quot;00081DD2&quot;/&gt;&lt;wsp:rsid wsp:val=&quot;00083539&quot;/&gt;&lt;wsp:rsid wsp:val=&quot;00084952&quot;/&gt;&lt;wsp:rsid wsp:val=&quot;000906E0&quot;/&gt;&lt;wsp:rsid wsp:val=&quot;00091C4B&quot;/&gt;&lt;wsp:rsid wsp:val=&quot;00092578&quot;/&gt;&lt;wsp:rsid wsp:val=&quot;00096EAD&quot;/&gt;&lt;wsp:rsid wsp:val=&quot;000A1554&quot;/&gt;&lt;wsp:rsid wsp:val=&quot;000A7FA1&quot;/&gt;&lt;wsp:rsid wsp:val=&quot;000B08A5&quot;/&gt;&lt;wsp:rsid wsp:val=&quot;000B283D&quot;/&gt;&lt;wsp:rsid wsp:val=&quot;000B4259&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908DD&quot;/&gt;&lt;wsp:rsid wsp:val=&quot;00293341&quot;/&gt;&lt;wsp:rsid wsp:val=&quot;00293C36&quot;/&gt;&lt;wsp:rsid wsp:val=&quot;002A16D8&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3E09&quot;/&gt;&lt;wsp:rsid wsp:val=&quot;005F682E&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E4523&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B7C31&quot;/&gt;&lt;wsp:rsid wsp:val=&quot;007C2F4E&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23F2&quot;/&gt;&lt;wsp:rsid wsp:val=&quot;00863550&quot;/&gt;&lt;wsp:rsid wsp:val=&quot;00867327&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3FD3&quot;/&gt;&lt;wsp:rsid wsp:val=&quot;00954008&quot;/&gt;&lt;wsp:rsid wsp:val=&quot;00956B57&quot;/&gt;&lt;wsp:rsid wsp:val=&quot;009629D9&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5F1C&quot;/&gt;&lt;wsp:rsid wsp:val=&quot;00CC05B3&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5B6&quot;/&gt;&lt;wsp:rsid wsp:val=&quot;00D2550C&quot;/&gt;&lt;wsp:rsid wsp:val=&quot;00D2655F&quot;/&gt;&lt;wsp:rsid wsp:val=&quot;00D52E5D&quot;/&gt;&lt;wsp:rsid wsp:val=&quot;00D56105&quot;/&gt;&lt;wsp:rsid wsp:val=&quot;00D5618A&quot;/&gt;&lt;wsp:rsid wsp:val=&quot;00D574E0&quot;/&gt;&lt;wsp:rsid wsp:val=&quot;00D650A4&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DFF&quot;/&gt;&lt;wsp:rsid wsp:val=&quot;00F724AE&quot;/&gt;&lt;wsp:rsid wsp:val=&quot;00F75A1E&quot;/&gt;&lt;wsp:rsid wsp:val=&quot;00F808B3&quot;/&gt;&lt;wsp:rsid wsp:val=&quot;00F81F79&quot;/&gt;&lt;wsp:rsid wsp:val=&quot;00F83D68&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9629D9&quot; wsp:rsidP=&quot;009629D9&quot;&gt;&lt;m:oMathPara&gt;&lt;m:oMath&gt;&lt;m:r&gt;&lt;m:rPr&gt;&lt;m:sty m:val=&quot;bi&quot;/&gt;&lt;/m:rPr&gt;&lt;w:rPr&gt;&lt;w:rFonts w:ascii=&quot;Cambria Math&quot; w:h-ansi=&quot;Cambria Math&quot;/&gt;&lt;wx:font wx:val=&quot;Cambria Math&quot;/&gt;&lt;w:b/&gt;&lt;w:i/&gt;&lt;w:color w:val=&quot;000000&quot;/&gt;&lt;/w:rPr&gt;&lt;m:t&gt;er&lt;/m:t&gt;&lt;/m:r&gt;&lt;m:sSub&gt;&lt;m:sSubPr&gt;&lt;m:ctrlPr&gt;&lt;w:rPr&gt;&lt;w:rFonts w:ascii=&quot;Cambria Math&quot; w:fareast=&quot;Malgun Gothic&quot; w:h-ansi=&quot;Cambria Math&quot;/&gt;&lt;wx:font wx:val=&quot;Cambria Math&quot;/&gt;&lt;w:b/&gt;&lt;w:i/&gt;&lt;w:i-cs/&gt;&lt;w:color w:val=&quot;000000&quot;/&gt;&lt;/w:rPr&gt;&lt;/m:ctrlPr&gt;&lt;/m:sSubPr&gt;&lt;m:e&gt;&lt;m:r&gt;&lt;m:rPr&gt;&lt;m:sty m:val=&quot;bi&quot;/&gt;&lt;/m:rPr&gt;&lt;w:rPr&gt;&lt;w:rFonts w:ascii=&quot;Cambria Math&quot; w:h-ansi=&quot;Cambria Math&quot;/&gt;&lt;wx:font wx:val=&quot;Cambria Math&quot;/&gt;&lt;w:b/&gt;&lt;w:i/&gt;&lt;w:color w:val=&quot;000000&quot;/&gt;&lt;/w:rPr&gt;&lt;m:t&gt;ror&lt;/m:t&gt;&lt;/m:r&gt;&lt;/m:e&gt;&lt;m:sub&gt;&lt;m:r&gt;&lt;m:rPr&gt;&lt;m:sty m:val=&quot;bi&quot;/&gt;&lt;/m:rPr&gt;&lt;w:rPr&gt;&lt;w:rFonts w:ascii=&quot;Cambria Math&quot; w:h-ansi=&quot;Cambria Math&quot;/&gt;&lt;wx:font wx:val=&quot;Cambria Math&quot;/&gt;&lt;w:b/&gt;&lt;w:i/&gt;&lt;w:color w:val=&quot;000000&quot;/&gt;&lt;/w:rPr&gt;&lt;m:t&gt;BS,UL,R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lang w:eastAsia="zh-CN"/>
              </w:rPr>
              <w:fldChar w:fldCharType="end"/>
            </w:r>
            <w:r>
              <w:rPr>
                <w:lang w:eastAsia="zh-CN"/>
              </w:rPr>
              <w:t>, if needed in the evaluation equation separately, where N_PRB is the number of PRBs of the RS bandwidth used in the detection by UE and gNB, respectively.</w:t>
            </w:r>
          </w:p>
          <w:p>
            <w:pPr>
              <w:keepNext w:val="0"/>
              <w:keepLines w:val="0"/>
              <w:pageBreakBefore w:val="0"/>
              <w:widowControl/>
              <w:numPr>
                <w:ilvl w:val="0"/>
                <w:numId w:val="12"/>
              </w:numPr>
              <w:kinsoku/>
              <w:wordWrap/>
              <w:topLinePunct w:val="0"/>
              <w:autoSpaceDE w:val="0"/>
              <w:autoSpaceDN w:val="0"/>
              <w:bidi w:val="0"/>
              <w:snapToGrid w:val="0"/>
              <w:spacing w:before="120" w:after="0" w:line="252" w:lineRule="auto"/>
              <w:ind w:left="714" w:hanging="357"/>
              <w:contextualSpacing/>
              <w:rPr>
                <w:bCs/>
              </w:rPr>
            </w:pPr>
            <w:r>
              <w:rPr>
                <w:iCs/>
                <w:lang w:eastAsia="zh-CN"/>
              </w:rPr>
              <w:t xml:space="preserve">Note: Detection error achieved by evaluations is not precluded if available. </w:t>
            </w:r>
          </w:p>
          <w:p>
            <w:pPr>
              <w:keepNext w:val="0"/>
              <w:keepLines w:val="0"/>
              <w:pageBreakBefore w:val="0"/>
              <w:widowControl/>
              <w:kinsoku/>
              <w:wordWrap/>
              <w:topLinePunct w:val="0"/>
              <w:bidi w:val="0"/>
              <w:spacing w:before="120" w:after="0" w:line="280" w:lineRule="atLeast"/>
              <w:rPr>
                <w:rFonts w:cs="Times"/>
                <w:i/>
                <w:iCs/>
                <w:szCs w:val="20"/>
              </w:rPr>
            </w:pPr>
          </w:p>
          <w:p>
            <w:pPr>
              <w:keepNext w:val="0"/>
              <w:keepLines w:val="0"/>
              <w:pageBreakBefore w:val="0"/>
              <w:widowControl/>
              <w:kinsoku/>
              <w:wordWrap/>
              <w:topLinePunct w:val="0"/>
              <w:bidi w:val="0"/>
              <w:spacing w:before="120" w:after="0" w:line="280" w:lineRule="atLeast"/>
              <w:rPr>
                <w:b/>
                <w:i/>
                <w:highlight w:val="green"/>
                <w:lang w:eastAsia="zh-CN"/>
              </w:rPr>
            </w:pPr>
            <w:r>
              <w:rPr>
                <w:b/>
                <w:highlight w:val="green"/>
                <w:lang w:eastAsia="zh-CN"/>
              </w:rPr>
              <w:t>Agreement</w:t>
            </w:r>
          </w:p>
          <w:p>
            <w:pPr>
              <w:keepNext w:val="0"/>
              <w:keepLines w:val="0"/>
              <w:pageBreakBefore w:val="0"/>
              <w:widowControl/>
              <w:kinsoku/>
              <w:wordWrap/>
              <w:topLinePunct w:val="0"/>
              <w:bidi w:val="0"/>
              <w:spacing w:before="120" w:after="0" w:line="280" w:lineRule="atLeast"/>
              <w:contextualSpacing/>
            </w:pPr>
            <w:r>
              <w:rPr>
                <w:bCs/>
              </w:rPr>
              <w:t>If enhanced TA-based PDC with reduced Te based on TRS is supported in Rel-17, one CSI-RS for tracking (TRS) configuration is configured for enhanced TA-based PDC.</w:t>
            </w:r>
          </w:p>
          <w:p>
            <w:pPr>
              <w:keepNext w:val="0"/>
              <w:keepLines w:val="0"/>
              <w:pageBreakBefore w:val="0"/>
              <w:widowControl/>
              <w:numPr>
                <w:ilvl w:val="0"/>
                <w:numId w:val="12"/>
              </w:numPr>
              <w:kinsoku/>
              <w:wordWrap/>
              <w:topLinePunct w:val="0"/>
              <w:autoSpaceDE w:val="0"/>
              <w:autoSpaceDN w:val="0"/>
              <w:bidi w:val="0"/>
              <w:snapToGrid w:val="0"/>
              <w:spacing w:before="120" w:after="0" w:line="280" w:lineRule="atLeast"/>
              <w:ind w:left="714" w:hanging="357"/>
              <w:contextualSpacing/>
              <w:rPr>
                <w:iCs/>
                <w:lang w:eastAsia="zh-CN"/>
              </w:rPr>
            </w:pPr>
            <w:r>
              <w:rPr>
                <w:iCs/>
                <w:lang w:eastAsia="zh-CN"/>
              </w:rPr>
              <w:t xml:space="preserve">FFS whether/how to configure UL signal for enhanced TA-based PDC </w:t>
            </w:r>
          </w:p>
          <w:p>
            <w:pPr>
              <w:keepNext w:val="0"/>
              <w:keepLines w:val="0"/>
              <w:pageBreakBefore w:val="0"/>
              <w:widowControl/>
              <w:kinsoku/>
              <w:wordWrap/>
              <w:topLinePunct w:val="0"/>
              <w:bidi w:val="0"/>
              <w:spacing w:before="120" w:after="0" w:line="280" w:lineRule="atLeast"/>
            </w:pPr>
            <w:r>
              <w:rPr>
                <w:color w:val="1F497D"/>
              </w:rPr>
              <w:t> </w:t>
            </w:r>
          </w:p>
          <w:p>
            <w:pPr>
              <w:keepNext w:val="0"/>
              <w:keepLines w:val="0"/>
              <w:pageBreakBefore w:val="0"/>
              <w:widowControl/>
              <w:kinsoku/>
              <w:wordWrap/>
              <w:topLinePunct w:val="0"/>
              <w:bidi w:val="0"/>
              <w:spacing w:before="120" w:after="0" w:line="280" w:lineRule="atLeast"/>
              <w:rPr>
                <w:b/>
                <w:i/>
                <w:highlight w:val="green"/>
                <w:lang w:eastAsia="zh-CN"/>
              </w:rPr>
            </w:pPr>
            <w:r>
              <w:rPr>
                <w:b/>
                <w:highlight w:val="green"/>
                <w:lang w:eastAsia="zh-CN"/>
              </w:rPr>
              <w:t>Agreement</w:t>
            </w:r>
          </w:p>
          <w:p>
            <w:pPr>
              <w:keepNext w:val="0"/>
              <w:keepLines w:val="0"/>
              <w:pageBreakBefore w:val="0"/>
              <w:widowControl/>
              <w:kinsoku/>
              <w:wordWrap/>
              <w:topLinePunct w:val="0"/>
              <w:bidi w:val="0"/>
              <w:spacing w:before="120" w:after="0" w:line="280" w:lineRule="atLeast"/>
            </w:pPr>
            <w:r>
              <w:rPr>
                <w:bCs/>
              </w:rPr>
              <w:t xml:space="preserve">If enhanced TA-based PDC with enhanced TA command indication granularity is supported in Rel-17, </w:t>
            </w:r>
          </w:p>
          <w:p>
            <w:pPr>
              <w:keepNext w:val="0"/>
              <w:keepLines w:val="0"/>
              <w:pageBreakBefore w:val="0"/>
              <w:widowControl/>
              <w:numPr>
                <w:ilvl w:val="0"/>
                <w:numId w:val="12"/>
              </w:numPr>
              <w:kinsoku/>
              <w:wordWrap/>
              <w:topLinePunct w:val="0"/>
              <w:autoSpaceDE w:val="0"/>
              <w:autoSpaceDN w:val="0"/>
              <w:bidi w:val="0"/>
              <w:snapToGrid w:val="0"/>
              <w:spacing w:before="120" w:after="0" w:line="280" w:lineRule="atLeast"/>
              <w:ind w:left="714" w:hanging="357"/>
              <w:contextualSpacing/>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pPr>
              <w:keepNext w:val="0"/>
              <w:keepLines w:val="0"/>
              <w:pageBreakBefore w:val="0"/>
              <w:widowControl/>
              <w:kinsoku/>
              <w:wordWrap/>
              <w:topLinePunct w:val="0"/>
              <w:bidi w:val="0"/>
              <w:spacing w:before="120" w:after="0" w:line="280" w:lineRule="atLeast"/>
            </w:pPr>
            <w:r>
              <w:rPr>
                <w:b/>
                <w:bCs/>
                <w:color w:val="FF0000"/>
              </w:rPr>
              <w:t> </w:t>
            </w:r>
          </w:p>
          <w:p>
            <w:pPr>
              <w:keepNext w:val="0"/>
              <w:keepLines w:val="0"/>
              <w:pageBreakBefore w:val="0"/>
              <w:widowControl/>
              <w:kinsoku/>
              <w:wordWrap/>
              <w:topLinePunct w:val="0"/>
              <w:bidi w:val="0"/>
              <w:spacing w:before="120" w:after="0" w:line="280" w:lineRule="atLeast"/>
              <w:rPr>
                <w:b/>
                <w:i/>
                <w:highlight w:val="green"/>
                <w:lang w:eastAsia="zh-CN"/>
              </w:rPr>
            </w:pPr>
            <w:r>
              <w:rPr>
                <w:b/>
                <w:highlight w:val="green"/>
                <w:lang w:eastAsia="zh-CN"/>
              </w:rPr>
              <w:t>Agreement</w:t>
            </w:r>
          </w:p>
          <w:p>
            <w:pPr>
              <w:keepNext w:val="0"/>
              <w:keepLines w:val="0"/>
              <w:pageBreakBefore w:val="0"/>
              <w:widowControl/>
              <w:kinsoku/>
              <w:wordWrap/>
              <w:topLinePunct w:val="0"/>
              <w:bidi w:val="0"/>
              <w:spacing w:before="120" w:after="0" w:line="280" w:lineRule="atLeast"/>
            </w:pPr>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pPr>
              <w:keepNext w:val="0"/>
              <w:keepLines w:val="0"/>
              <w:pageBreakBefore w:val="0"/>
              <w:widowControl/>
              <w:numPr>
                <w:ilvl w:val="0"/>
                <w:numId w:val="13"/>
              </w:numPr>
              <w:kinsoku/>
              <w:wordWrap/>
              <w:topLinePunct w:val="0"/>
              <w:autoSpaceDN w:val="0"/>
              <w:bidi w:val="0"/>
              <w:spacing w:before="120" w:after="0" w:line="280" w:lineRule="atLeast"/>
              <w:rPr>
                <w:rFonts w:eastAsia="Times New Roman"/>
              </w:rPr>
            </w:pPr>
            <w:r>
              <w:rPr>
                <w:rFonts w:eastAsia="Times New Roman"/>
                <w:bCs/>
              </w:rPr>
              <w:t xml:space="preserve">FFS the value of </w:t>
            </w:r>
            <w:r>
              <w:rPr>
                <w:rFonts w:eastAsia="Times New Roman"/>
                <w:bCs/>
                <w:i/>
                <w:iCs/>
              </w:rPr>
              <w:t>k</w:t>
            </w:r>
          </w:p>
          <w:p>
            <w:pPr>
              <w:keepNext w:val="0"/>
              <w:keepLines w:val="0"/>
              <w:pageBreakBefore w:val="0"/>
              <w:widowControl/>
              <w:numPr>
                <w:ilvl w:val="0"/>
                <w:numId w:val="13"/>
              </w:numPr>
              <w:kinsoku/>
              <w:wordWrap/>
              <w:topLinePunct w:val="0"/>
              <w:autoSpaceDN w:val="0"/>
              <w:bidi w:val="0"/>
              <w:spacing w:before="120" w:after="0" w:line="280" w:lineRule="atLeast"/>
              <w:rPr>
                <w:rFonts w:ascii="New York" w:hAnsi="New York"/>
                <w:lang w:val="en-GB" w:eastAsia="zh-CN"/>
              </w:rPr>
            </w:pPr>
            <w:r>
              <w:rPr>
                <w:rFonts w:eastAsia="Times New Roman"/>
                <w:bCs/>
              </w:rPr>
              <w:t>FFS the reporting range of Rx-Tx time difference measurement for PDC</w:t>
            </w:r>
          </w:p>
        </w:tc>
      </w:tr>
    </w:tbl>
    <w:p>
      <w:pPr>
        <w:rPr>
          <w:lang w:val="en-GB" w:eastAsia="zh-CN"/>
        </w:rPr>
      </w:pPr>
    </w:p>
    <w:p>
      <w:pPr>
        <w:pStyle w:val="2"/>
        <w:rPr>
          <w:lang w:eastAsia="zh-CN"/>
        </w:rPr>
      </w:pPr>
      <w:r>
        <w:rPr>
          <w:lang w:eastAsia="zh-CN"/>
        </w:rPr>
        <w:t>Discussion</w:t>
      </w:r>
    </w:p>
    <w:p>
      <w:pPr>
        <w:rPr>
          <w:rFonts w:hint="default"/>
          <w:lang w:val="en-US" w:eastAsia="zh-CN"/>
        </w:rPr>
      </w:pPr>
      <w:r>
        <w:rPr>
          <w:rFonts w:hint="default"/>
          <w:lang w:val="en-US" w:eastAsia="zh-CN"/>
        </w:rPr>
        <w:t>In RAN1#106b-e, it was agreed that TRS can be used for TA-based PDC if TA-based PDC with reduced Te is supported in Rel-17. During the TA procedure in NR, SRS can be used for the network to perform measurement and adjust the UE TA in addition to PRACH. Therefore, it is straightforward to use SRS for TA-based PDC in Rel-17.</w:t>
      </w:r>
    </w:p>
    <w:p>
      <w:pPr>
        <w:rPr>
          <w:rFonts w:hint="default"/>
          <w:i/>
          <w:iCs/>
          <w:lang w:val="en-US" w:eastAsia="zh-CN"/>
        </w:rPr>
      </w:pPr>
      <w:r>
        <w:rPr>
          <w:rFonts w:hint="default"/>
          <w:b/>
          <w:bCs/>
          <w:i/>
          <w:iCs/>
          <w:lang w:val="en-US" w:eastAsia="zh-CN"/>
        </w:rPr>
        <w:t>Proposal 1:</w:t>
      </w:r>
      <w:r>
        <w:rPr>
          <w:rFonts w:hint="default"/>
          <w:i/>
          <w:iCs/>
          <w:lang w:val="en-US" w:eastAsia="zh-CN"/>
        </w:rPr>
        <w:t xml:space="preserve"> If enhanced TA-based PDC with reduced Te is supported in Rel-17, one SRS configuration can be configured for TA-based PDC.</w:t>
      </w:r>
    </w:p>
    <w:p>
      <w:pPr>
        <w:rPr>
          <w:rFonts w:hint="default"/>
          <w:lang w:val="en-US" w:eastAsia="zh-CN"/>
        </w:rPr>
      </w:pPr>
      <w:r>
        <w:rPr>
          <w:rFonts w:hint="default"/>
          <w:lang w:val="en-US" w:eastAsia="zh-CN"/>
        </w:rPr>
        <w:t xml:space="preserve">For both TA-based PDC and RTT-based PDC, Alt 1 was agreed for evaluation of the overall time synchronization error. It was agreed that the timing detection error is related to the RS bandwidth with the equation of </w:t>
      </w:r>
      <w:r>
        <w:rPr>
          <w:lang w:eastAsia="zh-CN"/>
        </w:rPr>
        <w:t>error = 0.5/(RS BW) = 0.5/(N_PRB*12*SCS)</w:t>
      </w:r>
      <w:r>
        <w:rPr>
          <w:rFonts w:hint="default"/>
          <w:lang w:val="en-US" w:eastAsia="zh-CN"/>
        </w:rPr>
        <w:t xml:space="preserve">. The larger the RS bandwidth is, the smaller timing detection error gets. Considering that the PDC enhancements focus on control to control scenario, 20MHz bandwidth is assumed for the RS for the evaluation. In this case, 106 PRBs and 51 PRBs are assumed for TRS, PRS, and SRS at 15kHz SCS and 30kHz SCS, respectively. Therefore, the timing detection errors are 26ns and 27ns, respectively. </w:t>
      </w:r>
    </w:p>
    <w:p>
      <w:pPr>
        <w:rPr>
          <w:rFonts w:hint="default"/>
          <w:lang w:val="en-US" w:eastAsia="zh-CN"/>
        </w:rPr>
      </w:pPr>
      <w:r>
        <w:rPr>
          <w:rFonts w:hint="default"/>
          <w:lang w:val="en-US" w:eastAsia="zh-CN"/>
        </w:rPr>
        <w:t xml:space="preserve">The evaluation results are shown in Table 1 below. </w:t>
      </w:r>
      <w:r>
        <w:rPr>
          <w:rFonts w:hint="eastAsia"/>
          <w:lang w:eastAsia="zh-CN"/>
        </w:rPr>
        <w:t>It should be noted the Rx-Tx time difference indication error is Tc for RTT-based solution with the assumption of k=0[</w:t>
      </w:r>
      <w:r>
        <w:rPr>
          <w:rFonts w:hint="default"/>
          <w:lang w:val="en-US" w:eastAsia="zh-CN"/>
        </w:rPr>
        <w:t>2</w:t>
      </w:r>
      <w:r>
        <w:rPr>
          <w:rFonts w:hint="eastAsia"/>
          <w:lang w:eastAsia="zh-CN"/>
        </w:rPr>
        <w:t>].</w:t>
      </w:r>
      <w:r>
        <w:rPr>
          <w:rFonts w:hint="default"/>
          <w:lang w:val="en-US" w:eastAsia="zh-CN"/>
        </w:rPr>
        <w:t xml:space="preserve"> </w:t>
      </w:r>
      <w:r>
        <w:rPr>
          <w:rFonts w:hint="eastAsia"/>
          <w:lang w:eastAsia="zh-CN"/>
        </w:rPr>
        <w:t>According to the reply LS from RAN2, the budget of single Uu interface is (145ns, 275ns) for the control to control scenario[</w:t>
      </w:r>
      <w:r>
        <w:rPr>
          <w:lang w:eastAsia="zh-CN"/>
        </w:rPr>
        <w:t>3</w:t>
      </w:r>
      <w:r>
        <w:rPr>
          <w:rFonts w:hint="eastAsia"/>
          <w:lang w:eastAsia="zh-CN"/>
        </w:rPr>
        <w:t>].</w:t>
      </w:r>
      <w:r>
        <w:rPr>
          <w:rFonts w:hint="default"/>
          <w:lang w:val="en-US" w:eastAsia="zh-CN"/>
        </w:rPr>
        <w:t xml:space="preserve"> It can be seen that the result of RTT-based PDC is smaller than 275ns. Even though </w:t>
      </w:r>
      <w:r>
        <w:rPr>
          <w:rFonts w:hint="default" w:ascii="Times New Roman" w:hAnsi="Times New Roman" w:cs="Times New Roman"/>
          <w:lang w:val="en-US" w:eastAsia="zh-CN"/>
        </w:rPr>
        <w:t>δ</w:t>
      </w:r>
      <w:r>
        <w:rPr>
          <w:rFonts w:hint="default"/>
          <w:lang w:val="en-US" w:eastAsia="zh-CN"/>
        </w:rPr>
        <w:t xml:space="preserve"> and Y should be taken into account for the evaluation for RTT-based PDC, considering that they are both margin, it can be concluded that the requirement can be satisfied in case the 20MHz RS is used. </w:t>
      </w:r>
    </w:p>
    <w:p>
      <w:pPr>
        <w:jc w:val="center"/>
        <w:rPr>
          <w:rFonts w:hint="default"/>
          <w:lang w:val="en-US" w:eastAsia="zh-CN"/>
        </w:rPr>
      </w:pPr>
      <w:r>
        <w:rPr>
          <w:rFonts w:hint="default"/>
          <w:lang w:val="en-US" w:eastAsia="zh-CN"/>
        </w:rPr>
        <w:t>Table 1 Evaluation results</w:t>
      </w:r>
    </w:p>
    <w:tbl>
      <w:tblPr>
        <w:tblStyle w:val="51"/>
        <w:tblW w:w="97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1"/>
        <w:gridCol w:w="1415"/>
        <w:gridCol w:w="1415"/>
        <w:gridCol w:w="1415"/>
        <w:gridCol w:w="1415"/>
        <w:gridCol w:w="141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1" w:type="dxa"/>
          </w:tcPr>
          <w:p>
            <w:pPr>
              <w:spacing w:before="120" w:after="0" w:line="280" w:lineRule="atLeast"/>
              <w:rPr>
                <w:rFonts w:ascii="New York" w:hAnsi="New York"/>
                <w:lang w:eastAsia="zh-CN"/>
              </w:rPr>
            </w:pPr>
          </w:p>
        </w:tc>
        <w:tc>
          <w:tcPr>
            <w:tcW w:w="2830" w:type="dxa"/>
            <w:gridSpan w:val="2"/>
          </w:tcPr>
          <w:p>
            <w:pPr>
              <w:spacing w:before="120" w:after="0" w:line="280" w:lineRule="atLeast"/>
              <w:rPr>
                <w:rFonts w:hint="default" w:ascii="New York" w:hAnsi="New York"/>
                <w:lang w:val="en-US" w:eastAsia="zh-CN"/>
              </w:rPr>
            </w:pPr>
            <w:r>
              <w:rPr>
                <w:rFonts w:hint="default" w:ascii="New York" w:hAnsi="New York"/>
                <w:lang w:val="en-US" w:eastAsia="zh-CN"/>
              </w:rPr>
              <w:t>TA-based PDC</w:t>
            </w:r>
          </w:p>
        </w:tc>
        <w:tc>
          <w:tcPr>
            <w:tcW w:w="2830" w:type="dxa"/>
            <w:gridSpan w:val="2"/>
          </w:tcPr>
          <w:p>
            <w:pPr>
              <w:spacing w:before="120" w:after="0" w:line="280" w:lineRule="atLeast"/>
              <w:rPr>
                <w:rFonts w:hint="default" w:ascii="New York" w:hAnsi="New York"/>
                <w:lang w:val="en-US" w:eastAsia="zh-CN"/>
              </w:rPr>
            </w:pPr>
            <w:r>
              <w:rPr>
                <w:rFonts w:hint="default" w:ascii="New York" w:hAnsi="New York"/>
                <w:lang w:val="en-US" w:eastAsia="zh-CN"/>
              </w:rPr>
              <w:t>RTT-based PDC</w:t>
            </w:r>
          </w:p>
        </w:tc>
        <w:tc>
          <w:tcPr>
            <w:tcW w:w="2830" w:type="dxa"/>
            <w:gridSpan w:val="2"/>
          </w:tcPr>
          <w:p>
            <w:pPr>
              <w:spacing w:before="120" w:after="0" w:line="280" w:lineRule="atLeast"/>
              <w:rPr>
                <w:rFonts w:hint="default" w:ascii="New York" w:hAnsi="New York"/>
                <w:lang w:val="en-US" w:eastAsia="zh-CN"/>
              </w:rPr>
            </w:pPr>
            <w:r>
              <w:rPr>
                <w:rFonts w:hint="default" w:ascii="New York" w:hAnsi="New York"/>
                <w:lang w:val="en-US" w:eastAsia="zh-CN"/>
              </w:rPr>
              <w:t>TA-based PDC with enhanced TA indication and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1" w:type="dxa"/>
          </w:tcPr>
          <w:p>
            <w:pPr>
              <w:spacing w:before="120" w:after="0" w:line="280" w:lineRule="atLeast"/>
              <w:rPr>
                <w:rFonts w:ascii="New York" w:hAnsi="New York"/>
                <w:lang w:eastAsia="zh-CN"/>
              </w:rPr>
            </w:pPr>
          </w:p>
        </w:tc>
        <w:tc>
          <w:tcPr>
            <w:tcW w:w="1415" w:type="dxa"/>
          </w:tcPr>
          <w:p>
            <w:pPr>
              <w:spacing w:before="120" w:after="0" w:line="280" w:lineRule="atLeast"/>
              <w:rPr>
                <w:rFonts w:ascii="New York" w:hAnsi="New York"/>
                <w:lang w:eastAsia="zh-CN"/>
              </w:rPr>
            </w:pPr>
            <w:r>
              <w:rPr>
                <w:rFonts w:hint="eastAsia" w:ascii="New York" w:hAnsi="New York"/>
                <w:lang w:eastAsia="zh-CN"/>
              </w:rPr>
              <w:t>15kHz</w:t>
            </w:r>
          </w:p>
        </w:tc>
        <w:tc>
          <w:tcPr>
            <w:tcW w:w="1415" w:type="dxa"/>
          </w:tcPr>
          <w:p>
            <w:pPr>
              <w:spacing w:before="120" w:after="0" w:line="280" w:lineRule="atLeast"/>
              <w:rPr>
                <w:rFonts w:ascii="New York" w:hAnsi="New York"/>
                <w:lang w:eastAsia="zh-CN"/>
              </w:rPr>
            </w:pPr>
            <w:r>
              <w:rPr>
                <w:rFonts w:hint="eastAsia" w:ascii="New York" w:hAnsi="New York"/>
                <w:lang w:eastAsia="zh-CN"/>
              </w:rPr>
              <w:t>30kHz</w:t>
            </w:r>
          </w:p>
        </w:tc>
        <w:tc>
          <w:tcPr>
            <w:tcW w:w="1415" w:type="dxa"/>
          </w:tcPr>
          <w:p>
            <w:pPr>
              <w:spacing w:before="120" w:after="0" w:line="280" w:lineRule="atLeast"/>
              <w:rPr>
                <w:rFonts w:ascii="New York" w:hAnsi="New York"/>
                <w:lang w:eastAsia="zh-CN"/>
              </w:rPr>
            </w:pPr>
            <w:r>
              <w:rPr>
                <w:rFonts w:hint="eastAsia" w:ascii="New York" w:hAnsi="New York"/>
                <w:lang w:eastAsia="zh-CN"/>
              </w:rPr>
              <w:t>15kHz</w:t>
            </w:r>
          </w:p>
        </w:tc>
        <w:tc>
          <w:tcPr>
            <w:tcW w:w="1415" w:type="dxa"/>
          </w:tcPr>
          <w:p>
            <w:pPr>
              <w:spacing w:before="120" w:after="0" w:line="280" w:lineRule="atLeast"/>
              <w:rPr>
                <w:rFonts w:ascii="New York" w:hAnsi="New York"/>
                <w:lang w:eastAsia="zh-CN"/>
              </w:rPr>
            </w:pPr>
            <w:r>
              <w:rPr>
                <w:rFonts w:hint="eastAsia" w:ascii="New York" w:hAnsi="New York"/>
                <w:lang w:eastAsia="zh-CN"/>
              </w:rPr>
              <w:t>30kHz</w:t>
            </w:r>
          </w:p>
        </w:tc>
        <w:tc>
          <w:tcPr>
            <w:tcW w:w="1415" w:type="dxa"/>
            <w:vAlign w:val="top"/>
          </w:tcPr>
          <w:p>
            <w:pPr>
              <w:spacing w:before="120" w:after="0" w:line="280" w:lineRule="atLeast"/>
              <w:rPr>
                <w:rFonts w:hint="eastAsia" w:ascii="New York" w:hAnsi="New York"/>
                <w:lang w:eastAsia="zh-CN"/>
              </w:rPr>
            </w:pPr>
            <w:r>
              <w:rPr>
                <w:rFonts w:hint="eastAsia" w:ascii="New York" w:hAnsi="New York"/>
                <w:lang w:eastAsia="zh-CN"/>
              </w:rPr>
              <w:t>15kHz</w:t>
            </w:r>
          </w:p>
        </w:tc>
        <w:tc>
          <w:tcPr>
            <w:tcW w:w="1415" w:type="dxa"/>
            <w:vAlign w:val="top"/>
          </w:tcPr>
          <w:p>
            <w:pPr>
              <w:spacing w:before="120" w:after="0" w:line="280" w:lineRule="atLeast"/>
              <w:rPr>
                <w:rFonts w:hint="eastAsia" w:ascii="New York" w:hAnsi="New York"/>
                <w:lang w:eastAsia="zh-CN"/>
              </w:rPr>
            </w:pPr>
            <w:r>
              <w:rPr>
                <w:rFonts w:hint="eastAsia" w:ascii="New York" w:hAnsi="New York"/>
                <w:lang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1" w:type="dxa"/>
          </w:tcPr>
          <w:p>
            <w:pPr>
              <w:spacing w:before="120" w:after="0" w:line="280" w:lineRule="atLeast"/>
              <w:rPr>
                <w:rFonts w:hint="default" w:ascii="New York" w:hAnsi="New York"/>
                <w:lang w:val="en-US" w:eastAsia="zh-CN"/>
              </w:rPr>
            </w:pPr>
            <w:r>
              <w:rPr>
                <w:rFonts w:hint="default" w:ascii="New York" w:hAnsi="New York"/>
                <w:lang w:val="en-US" w:eastAsia="zh-CN"/>
              </w:rPr>
              <w:t>e1</w:t>
            </w:r>
          </w:p>
        </w:tc>
        <w:tc>
          <w:tcPr>
            <w:tcW w:w="1415" w:type="dxa"/>
          </w:tcPr>
          <w:p>
            <w:pPr>
              <w:spacing w:before="120" w:after="0" w:line="280" w:lineRule="atLeast"/>
              <w:rPr>
                <w:rFonts w:ascii="New York" w:hAnsi="New York"/>
                <w:lang w:eastAsia="zh-CN"/>
              </w:rPr>
            </w:pPr>
            <w:r>
              <w:rPr>
                <w:rFonts w:hint="eastAsia" w:ascii="New York" w:hAnsi="New York"/>
                <w:lang w:eastAsia="zh-CN"/>
              </w:rPr>
              <w:t>65ns</w:t>
            </w:r>
          </w:p>
        </w:tc>
        <w:tc>
          <w:tcPr>
            <w:tcW w:w="1415" w:type="dxa"/>
          </w:tcPr>
          <w:p>
            <w:pPr>
              <w:spacing w:before="120" w:after="0" w:line="280" w:lineRule="atLeast"/>
              <w:rPr>
                <w:rFonts w:ascii="New York" w:hAnsi="New York"/>
                <w:lang w:eastAsia="zh-CN"/>
              </w:rPr>
            </w:pPr>
            <w:r>
              <w:rPr>
                <w:rFonts w:hint="eastAsia" w:ascii="New York" w:hAnsi="New York"/>
                <w:lang w:eastAsia="zh-CN"/>
              </w:rPr>
              <w:t>65ns</w:t>
            </w:r>
          </w:p>
        </w:tc>
        <w:tc>
          <w:tcPr>
            <w:tcW w:w="1415" w:type="dxa"/>
          </w:tcPr>
          <w:p>
            <w:pPr>
              <w:spacing w:before="120" w:after="0" w:line="280" w:lineRule="atLeast"/>
              <w:rPr>
                <w:rFonts w:ascii="New York" w:hAnsi="New York"/>
                <w:lang w:eastAsia="zh-CN"/>
              </w:rPr>
            </w:pPr>
            <w:r>
              <w:rPr>
                <w:rFonts w:hint="eastAsia" w:ascii="New York" w:hAnsi="New York"/>
                <w:lang w:eastAsia="zh-CN"/>
              </w:rPr>
              <w:t>65ns</w:t>
            </w:r>
          </w:p>
        </w:tc>
        <w:tc>
          <w:tcPr>
            <w:tcW w:w="1415" w:type="dxa"/>
          </w:tcPr>
          <w:p>
            <w:pPr>
              <w:spacing w:before="120" w:after="0" w:line="280" w:lineRule="atLeast"/>
              <w:rPr>
                <w:rFonts w:ascii="New York" w:hAnsi="New York"/>
                <w:lang w:eastAsia="zh-CN"/>
              </w:rPr>
            </w:pPr>
            <w:r>
              <w:rPr>
                <w:rFonts w:hint="eastAsia" w:ascii="New York" w:hAnsi="New York"/>
                <w:lang w:eastAsia="zh-CN"/>
              </w:rPr>
              <w:t>65ns</w:t>
            </w:r>
          </w:p>
        </w:tc>
        <w:tc>
          <w:tcPr>
            <w:tcW w:w="1415" w:type="dxa"/>
            <w:vAlign w:val="top"/>
          </w:tcPr>
          <w:p>
            <w:pPr>
              <w:spacing w:before="120" w:after="0" w:line="280" w:lineRule="atLeast"/>
              <w:rPr>
                <w:rFonts w:hint="eastAsia" w:ascii="New York" w:hAnsi="New York"/>
                <w:lang w:eastAsia="zh-CN"/>
              </w:rPr>
            </w:pPr>
            <w:r>
              <w:rPr>
                <w:rFonts w:hint="eastAsia" w:ascii="New York" w:hAnsi="New York"/>
                <w:lang w:eastAsia="zh-CN"/>
              </w:rPr>
              <w:t>65ns</w:t>
            </w:r>
          </w:p>
        </w:tc>
        <w:tc>
          <w:tcPr>
            <w:tcW w:w="1415" w:type="dxa"/>
            <w:vAlign w:val="top"/>
          </w:tcPr>
          <w:p>
            <w:pPr>
              <w:spacing w:before="120" w:after="0" w:line="280" w:lineRule="atLeast"/>
              <w:rPr>
                <w:rFonts w:hint="eastAsia" w:ascii="New York" w:hAnsi="New York"/>
                <w:lang w:eastAsia="zh-CN"/>
              </w:rPr>
            </w:pPr>
            <w:r>
              <w:rPr>
                <w:rFonts w:hint="eastAsia" w:ascii="New York" w:hAnsi="New York"/>
                <w:lang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1" w:type="dxa"/>
          </w:tcPr>
          <w:p>
            <w:pPr>
              <w:spacing w:before="120" w:after="0" w:line="280" w:lineRule="atLeast"/>
              <w:rPr>
                <w:rFonts w:hint="default" w:ascii="New York" w:hAnsi="New York"/>
                <w:lang w:val="en-US" w:eastAsia="zh-CN"/>
              </w:rPr>
            </w:pPr>
            <w:r>
              <w:rPr>
                <w:rFonts w:hint="default" w:ascii="New York" w:hAnsi="New York"/>
                <w:lang w:val="en-US" w:eastAsia="zh-CN"/>
              </w:rPr>
              <w:t>e2</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26ns</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27ns</w:t>
            </w:r>
          </w:p>
        </w:tc>
        <w:tc>
          <w:tcPr>
            <w:tcW w:w="1415" w:type="dxa"/>
            <w:vAlign w:val="top"/>
          </w:tcPr>
          <w:p>
            <w:pPr>
              <w:spacing w:before="120" w:after="0" w:line="280" w:lineRule="atLeast"/>
              <w:rPr>
                <w:rFonts w:ascii="New York" w:hAnsi="New York"/>
                <w:lang w:eastAsia="zh-CN"/>
              </w:rPr>
            </w:pPr>
            <w:r>
              <w:rPr>
                <w:rFonts w:hint="default" w:ascii="New York" w:hAnsi="New York"/>
                <w:lang w:val="en-US" w:eastAsia="zh-CN"/>
              </w:rPr>
              <w:t>26ns</w:t>
            </w:r>
          </w:p>
        </w:tc>
        <w:tc>
          <w:tcPr>
            <w:tcW w:w="1415" w:type="dxa"/>
            <w:vAlign w:val="top"/>
          </w:tcPr>
          <w:p>
            <w:pPr>
              <w:spacing w:before="120" w:after="0" w:line="280" w:lineRule="atLeast"/>
              <w:rPr>
                <w:rFonts w:ascii="New York" w:hAnsi="New York"/>
                <w:lang w:eastAsia="zh-CN"/>
              </w:rPr>
            </w:pPr>
            <w:r>
              <w:rPr>
                <w:rFonts w:hint="default" w:ascii="New York" w:hAnsi="New York"/>
                <w:lang w:val="en-US" w:eastAsia="zh-CN"/>
              </w:rPr>
              <w:t>27ns</w:t>
            </w:r>
          </w:p>
        </w:tc>
        <w:tc>
          <w:tcPr>
            <w:tcW w:w="1415" w:type="dxa"/>
            <w:vAlign w:val="top"/>
          </w:tcPr>
          <w:p>
            <w:pPr>
              <w:spacing w:before="120" w:after="0" w:line="280" w:lineRule="atLeast"/>
              <w:rPr>
                <w:rFonts w:hint="default" w:ascii="New York" w:hAnsi="New York"/>
                <w:lang w:val="en-US" w:eastAsia="zh-CN"/>
              </w:rPr>
            </w:pPr>
            <w:r>
              <w:rPr>
                <w:rFonts w:hint="default" w:ascii="New York" w:hAnsi="New York"/>
                <w:lang w:val="en-US" w:eastAsia="zh-CN"/>
              </w:rPr>
              <w:t>26ns</w:t>
            </w:r>
          </w:p>
        </w:tc>
        <w:tc>
          <w:tcPr>
            <w:tcW w:w="1415" w:type="dxa"/>
            <w:vAlign w:val="top"/>
          </w:tcPr>
          <w:p>
            <w:pPr>
              <w:spacing w:before="120" w:after="0" w:line="280" w:lineRule="atLeast"/>
              <w:rPr>
                <w:rFonts w:hint="default" w:ascii="New York" w:hAnsi="New York"/>
                <w:lang w:val="en-US" w:eastAsia="zh-CN"/>
              </w:rPr>
            </w:pPr>
            <w:r>
              <w:rPr>
                <w:rFonts w:hint="default" w:ascii="New York" w:hAnsi="New York"/>
                <w:lang w:val="en-US" w:eastAsia="zh-CN"/>
              </w:rPr>
              <w:t>27ns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1" w:type="dxa"/>
          </w:tcPr>
          <w:p>
            <w:pPr>
              <w:spacing w:before="120" w:after="0" w:line="280" w:lineRule="atLeast"/>
              <w:rPr>
                <w:rFonts w:hint="default" w:ascii="New York" w:hAnsi="New York"/>
                <w:lang w:val="en-US" w:eastAsia="zh-CN"/>
              </w:rPr>
            </w:pPr>
            <w:r>
              <w:rPr>
                <w:rFonts w:hint="default" w:ascii="New York" w:hAnsi="New York"/>
                <w:lang w:val="en-US" w:eastAsia="zh-CN"/>
              </w:rPr>
              <w:t xml:space="preserve">e3 </w:t>
            </w:r>
          </w:p>
        </w:tc>
        <w:tc>
          <w:tcPr>
            <w:tcW w:w="1415" w:type="dxa"/>
          </w:tcPr>
          <w:p>
            <w:pPr>
              <w:spacing w:before="120" w:after="0" w:line="280" w:lineRule="atLeast"/>
              <w:rPr>
                <w:rFonts w:hint="eastAsia" w:ascii="New York" w:hAnsi="New York"/>
                <w:lang w:eastAsia="zh-CN"/>
              </w:rPr>
            </w:pPr>
            <w:r>
              <w:rPr>
                <w:rFonts w:hint="eastAsia" w:ascii="New York" w:hAnsi="New York"/>
                <w:lang w:eastAsia="zh-CN"/>
              </w:rPr>
              <w:t>391ns</w:t>
            </w:r>
          </w:p>
          <w:p>
            <w:pPr>
              <w:spacing w:before="120" w:after="0" w:line="280" w:lineRule="atLeast"/>
              <w:rPr>
                <w:rFonts w:ascii="New York" w:hAnsi="New York"/>
                <w:lang w:eastAsia="zh-CN"/>
              </w:rPr>
            </w:pPr>
            <w:r>
              <w:rPr>
                <w:rFonts w:hint="eastAsia" w:ascii="New York" w:hAnsi="New York"/>
                <w:lang w:eastAsia="zh-CN"/>
              </w:rPr>
              <w:t>(</w:t>
            </w:r>
            <w:r>
              <w:rPr>
                <w:rFonts w:ascii="New York" w:hAnsi="New York"/>
              </w:rPr>
              <w:t>12*64*T</w:t>
            </w:r>
            <w:r>
              <w:rPr>
                <w:rFonts w:ascii="New York" w:hAnsi="New York"/>
                <w:vertAlign w:val="subscript"/>
              </w:rPr>
              <w:t>c</w:t>
            </w:r>
            <w:r>
              <w:rPr>
                <w:rFonts w:hint="eastAsia" w:ascii="New York" w:hAnsi="New York"/>
                <w:lang w:eastAsia="zh-CN"/>
              </w:rPr>
              <w:t>)</w:t>
            </w:r>
          </w:p>
        </w:tc>
        <w:tc>
          <w:tcPr>
            <w:tcW w:w="1415" w:type="dxa"/>
          </w:tcPr>
          <w:p>
            <w:pPr>
              <w:spacing w:before="120" w:after="0" w:line="280" w:lineRule="atLeast"/>
              <w:rPr>
                <w:rFonts w:hint="eastAsia" w:ascii="New York" w:hAnsi="New York"/>
                <w:lang w:eastAsia="zh-CN"/>
              </w:rPr>
            </w:pPr>
            <w:r>
              <w:rPr>
                <w:rFonts w:hint="eastAsia" w:ascii="New York" w:hAnsi="New York"/>
                <w:lang w:eastAsia="zh-CN"/>
              </w:rPr>
              <w:t>260ns</w:t>
            </w:r>
          </w:p>
          <w:p>
            <w:pPr>
              <w:spacing w:before="120" w:after="0" w:line="280" w:lineRule="atLeast"/>
              <w:rPr>
                <w:rFonts w:ascii="New York" w:hAnsi="New York"/>
                <w:lang w:eastAsia="zh-CN"/>
              </w:rPr>
            </w:pPr>
            <w:r>
              <w:rPr>
                <w:rFonts w:hint="eastAsia" w:ascii="New York" w:hAnsi="New York"/>
                <w:lang w:eastAsia="zh-CN"/>
              </w:rPr>
              <w:t>(8</w:t>
            </w:r>
            <w:r>
              <w:rPr>
                <w:rFonts w:ascii="New York" w:hAnsi="New York"/>
              </w:rPr>
              <w:t>*64*T</w:t>
            </w:r>
            <w:r>
              <w:rPr>
                <w:rFonts w:ascii="New York" w:hAnsi="New York"/>
                <w:vertAlign w:val="subscript"/>
              </w:rPr>
              <w:t>c</w:t>
            </w:r>
            <w:r>
              <w:rPr>
                <w:rFonts w:hint="eastAsia" w:ascii="New York" w:hAnsi="New York"/>
                <w:lang w:eastAsia="zh-CN"/>
              </w:rPr>
              <w:t>)</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35ns</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43ns</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195ns</w:t>
            </w:r>
          </w:p>
          <w:p>
            <w:pPr>
              <w:spacing w:before="120" w:after="0" w:line="280" w:lineRule="atLeast"/>
              <w:rPr>
                <w:rFonts w:hint="default" w:ascii="New York" w:hAnsi="New York"/>
                <w:lang w:val="en-US" w:eastAsia="zh-CN"/>
              </w:rPr>
            </w:pPr>
            <w:r>
              <w:rPr>
                <w:rFonts w:hint="eastAsia" w:ascii="New York" w:hAnsi="New York"/>
                <w:lang w:eastAsia="zh-CN"/>
              </w:rPr>
              <w:t>(</w:t>
            </w:r>
            <w:r>
              <w:rPr>
                <w:rFonts w:hint="default" w:ascii="New York" w:hAnsi="New York"/>
                <w:lang w:val="en-US"/>
              </w:rPr>
              <w:t>6</w:t>
            </w:r>
            <w:r>
              <w:rPr>
                <w:rFonts w:ascii="New York" w:hAnsi="New York"/>
              </w:rPr>
              <w:t>*64*T</w:t>
            </w:r>
            <w:r>
              <w:rPr>
                <w:rFonts w:ascii="New York" w:hAnsi="New York"/>
                <w:vertAlign w:val="subscript"/>
              </w:rPr>
              <w:t>c</w:t>
            </w:r>
            <w:r>
              <w:rPr>
                <w:rFonts w:hint="eastAsia" w:ascii="New York" w:hAnsi="New York"/>
                <w:lang w:eastAsia="zh-CN"/>
              </w:rPr>
              <w:t>)</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130ns</w:t>
            </w:r>
          </w:p>
          <w:p>
            <w:pPr>
              <w:spacing w:before="120" w:after="0" w:line="280" w:lineRule="atLeast"/>
              <w:rPr>
                <w:rFonts w:hint="default" w:ascii="New York" w:hAnsi="New York"/>
                <w:lang w:val="en-US" w:eastAsia="zh-CN"/>
              </w:rPr>
            </w:pPr>
            <w:r>
              <w:rPr>
                <w:rFonts w:hint="eastAsia" w:ascii="New York" w:hAnsi="New York"/>
                <w:lang w:eastAsia="zh-CN"/>
              </w:rPr>
              <w:t>(</w:t>
            </w:r>
            <w:r>
              <w:rPr>
                <w:rFonts w:hint="default" w:ascii="New York" w:hAnsi="New York"/>
                <w:lang w:val="en-US" w:eastAsia="zh-CN"/>
              </w:rPr>
              <w:t>4</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1" w:type="dxa"/>
          </w:tcPr>
          <w:p>
            <w:pPr>
              <w:spacing w:before="120" w:after="0" w:line="280" w:lineRule="atLeast"/>
              <w:rPr>
                <w:rFonts w:ascii="New York" w:hAnsi="New York"/>
                <w:lang w:eastAsia="zh-CN"/>
              </w:rPr>
            </w:pPr>
            <w:r>
              <w:rPr>
                <w:rFonts w:hint="default" w:ascii="New York" w:hAnsi="New York"/>
                <w:lang w:val="en-US" w:eastAsia="zh-CN"/>
              </w:rPr>
              <w:t>e4</w:t>
            </w:r>
          </w:p>
        </w:tc>
        <w:tc>
          <w:tcPr>
            <w:tcW w:w="1415" w:type="dxa"/>
            <w:vAlign w:val="top"/>
          </w:tcPr>
          <w:p>
            <w:pPr>
              <w:spacing w:before="120" w:after="0" w:line="280" w:lineRule="atLeast"/>
              <w:rPr>
                <w:rFonts w:ascii="New York" w:hAnsi="New York"/>
                <w:lang w:eastAsia="zh-CN"/>
              </w:rPr>
            </w:pPr>
            <w:r>
              <w:rPr>
                <w:rFonts w:hint="default" w:ascii="New York" w:hAnsi="New York"/>
                <w:lang w:val="en-US" w:eastAsia="zh-CN"/>
              </w:rPr>
              <w:t>26ns</w:t>
            </w:r>
          </w:p>
        </w:tc>
        <w:tc>
          <w:tcPr>
            <w:tcW w:w="1415" w:type="dxa"/>
            <w:vAlign w:val="top"/>
          </w:tcPr>
          <w:p>
            <w:pPr>
              <w:spacing w:before="120" w:after="0" w:line="280" w:lineRule="atLeast"/>
              <w:rPr>
                <w:rFonts w:ascii="New York" w:hAnsi="New York"/>
                <w:lang w:eastAsia="zh-CN"/>
              </w:rPr>
            </w:pPr>
            <w:r>
              <w:rPr>
                <w:rFonts w:hint="default" w:ascii="New York" w:hAnsi="New York"/>
                <w:lang w:val="en-US" w:eastAsia="zh-CN"/>
              </w:rPr>
              <w:t>27ns</w:t>
            </w:r>
          </w:p>
        </w:tc>
        <w:tc>
          <w:tcPr>
            <w:tcW w:w="1415" w:type="dxa"/>
            <w:vAlign w:val="top"/>
          </w:tcPr>
          <w:p>
            <w:pPr>
              <w:spacing w:before="120" w:after="0" w:line="280" w:lineRule="atLeast"/>
              <w:rPr>
                <w:rFonts w:hint="default" w:ascii="New York" w:hAnsi="New York"/>
                <w:lang w:val="en-US" w:eastAsia="zh-CN"/>
              </w:rPr>
            </w:pPr>
            <w:r>
              <w:rPr>
                <w:rFonts w:hint="default" w:ascii="New York" w:hAnsi="New York"/>
                <w:lang w:val="en-US" w:eastAsia="zh-CN"/>
              </w:rPr>
              <w:t>16ns</w:t>
            </w:r>
          </w:p>
        </w:tc>
        <w:tc>
          <w:tcPr>
            <w:tcW w:w="1415" w:type="dxa"/>
            <w:vAlign w:val="top"/>
          </w:tcPr>
          <w:p>
            <w:pPr>
              <w:spacing w:before="120" w:after="0" w:line="280" w:lineRule="atLeast"/>
              <w:rPr>
                <w:rFonts w:hint="default" w:ascii="New York" w:hAnsi="New York"/>
                <w:lang w:val="en-US" w:eastAsia="zh-CN"/>
              </w:rPr>
            </w:pPr>
            <w:r>
              <w:rPr>
                <w:rFonts w:hint="default" w:ascii="New York" w:hAnsi="New York"/>
                <w:lang w:val="en-US" w:eastAsia="zh-CN"/>
              </w:rPr>
              <w:t>19ns</w:t>
            </w:r>
          </w:p>
        </w:tc>
        <w:tc>
          <w:tcPr>
            <w:tcW w:w="1415" w:type="dxa"/>
            <w:vAlign w:val="top"/>
          </w:tcPr>
          <w:p>
            <w:pPr>
              <w:spacing w:before="120" w:after="0" w:line="280" w:lineRule="atLeast"/>
              <w:rPr>
                <w:rFonts w:ascii="New York" w:hAnsi="New York"/>
                <w:lang w:eastAsia="zh-CN"/>
              </w:rPr>
            </w:pPr>
            <w:r>
              <w:rPr>
                <w:rFonts w:hint="default" w:ascii="New York" w:hAnsi="New York"/>
                <w:lang w:val="en-US" w:eastAsia="zh-CN"/>
              </w:rPr>
              <w:t>26ns</w:t>
            </w:r>
          </w:p>
        </w:tc>
        <w:tc>
          <w:tcPr>
            <w:tcW w:w="1415" w:type="dxa"/>
            <w:vAlign w:val="top"/>
          </w:tcPr>
          <w:p>
            <w:pPr>
              <w:spacing w:before="120" w:after="0" w:line="280" w:lineRule="atLeast"/>
              <w:rPr>
                <w:rFonts w:ascii="New York" w:hAnsi="New York"/>
                <w:lang w:eastAsia="zh-CN"/>
              </w:rPr>
            </w:pPr>
            <w:r>
              <w:rPr>
                <w:rFonts w:hint="default" w:ascii="New York" w:hAnsi="New York"/>
                <w:lang w:val="en-US" w:eastAsia="zh-CN"/>
              </w:rPr>
              <w:t>27ns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1" w:type="dxa"/>
          </w:tcPr>
          <w:p>
            <w:pPr>
              <w:spacing w:before="120" w:after="0" w:line="280" w:lineRule="atLeast"/>
              <w:rPr>
                <w:rFonts w:ascii="New York" w:hAnsi="New York"/>
                <w:lang w:eastAsia="zh-CN"/>
              </w:rPr>
            </w:pPr>
            <w:r>
              <w:rPr>
                <w:rFonts w:hint="default" w:ascii="New York" w:hAnsi="New York"/>
                <w:lang w:val="en-US" w:eastAsia="zh-CN"/>
              </w:rPr>
              <w:t>e5</w:t>
            </w:r>
          </w:p>
        </w:tc>
        <w:tc>
          <w:tcPr>
            <w:tcW w:w="1415" w:type="dxa"/>
            <w:vAlign w:val="top"/>
          </w:tcPr>
          <w:p>
            <w:pPr>
              <w:spacing w:before="120" w:after="0" w:line="280" w:lineRule="atLeast"/>
              <w:rPr>
                <w:rFonts w:hint="eastAsia" w:ascii="New York" w:hAnsi="New York"/>
                <w:lang w:eastAsia="zh-CN"/>
              </w:rPr>
            </w:pPr>
            <w:r>
              <w:rPr>
                <w:rFonts w:hint="eastAsia" w:ascii="New York" w:hAnsi="New York"/>
                <w:lang w:eastAsia="zh-CN"/>
              </w:rPr>
              <w:t>260ns</w:t>
            </w:r>
          </w:p>
          <w:p>
            <w:pPr>
              <w:spacing w:before="120" w:after="0" w:line="280" w:lineRule="atLeast"/>
              <w:rPr>
                <w:rFonts w:hint="default" w:ascii="New York" w:hAnsi="New York"/>
                <w:lang w:val="en-US" w:eastAsia="zh-CN"/>
              </w:rPr>
            </w:pPr>
            <w:r>
              <w:rPr>
                <w:rFonts w:hint="eastAsia" w:ascii="New York" w:hAnsi="New York"/>
                <w:lang w:eastAsia="zh-CN"/>
              </w:rPr>
              <w:t>(</w:t>
            </w:r>
            <w:r>
              <w:rPr>
                <w:rFonts w:ascii="New York" w:hAnsi="New York"/>
              </w:rPr>
              <w:t>8*64*T</w:t>
            </w:r>
            <w:r>
              <w:rPr>
                <w:rFonts w:ascii="New York" w:hAnsi="New York"/>
                <w:vertAlign w:val="subscript"/>
              </w:rPr>
              <w:t>c</w:t>
            </w:r>
            <w:r>
              <w:rPr>
                <w:rFonts w:hint="eastAsia" w:ascii="New York" w:hAnsi="New York"/>
                <w:lang w:eastAsia="zh-CN"/>
              </w:rPr>
              <w:t>)</w:t>
            </w:r>
          </w:p>
        </w:tc>
        <w:tc>
          <w:tcPr>
            <w:tcW w:w="1415" w:type="dxa"/>
            <w:vAlign w:val="top"/>
          </w:tcPr>
          <w:p>
            <w:pPr>
              <w:spacing w:before="120" w:after="0" w:line="280" w:lineRule="atLeast"/>
              <w:rPr>
                <w:rFonts w:hint="eastAsia" w:ascii="New York" w:hAnsi="New York"/>
                <w:lang w:eastAsia="zh-CN"/>
              </w:rPr>
            </w:pPr>
            <w:r>
              <w:rPr>
                <w:rFonts w:hint="eastAsia" w:ascii="New York" w:hAnsi="New York"/>
                <w:lang w:eastAsia="zh-CN"/>
              </w:rPr>
              <w:t>130ns</w:t>
            </w:r>
          </w:p>
          <w:p>
            <w:pPr>
              <w:spacing w:before="120" w:after="0" w:line="280" w:lineRule="atLeast"/>
              <w:rPr>
                <w:rFonts w:hint="default" w:ascii="New York" w:hAnsi="New York"/>
                <w:lang w:val="en-US" w:eastAsia="zh-CN"/>
              </w:rPr>
            </w:pPr>
            <w:r>
              <w:rPr>
                <w:rFonts w:hint="eastAsia" w:ascii="New York" w:hAnsi="New York"/>
                <w:lang w:eastAsia="zh-CN"/>
              </w:rPr>
              <w:t>(4</w:t>
            </w:r>
            <w:r>
              <w:rPr>
                <w:rFonts w:ascii="New York" w:hAnsi="New York"/>
              </w:rPr>
              <w:t>*64*T</w:t>
            </w:r>
            <w:r>
              <w:rPr>
                <w:rFonts w:ascii="New York" w:hAnsi="New York"/>
                <w:vertAlign w:val="subscript"/>
              </w:rPr>
              <w:t>c</w:t>
            </w:r>
            <w:r>
              <w:rPr>
                <w:rFonts w:hint="eastAsia" w:ascii="New York" w:hAnsi="New York"/>
                <w:lang w:eastAsia="zh-CN"/>
              </w:rPr>
              <w:t>)</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0.5ns</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0.5ns</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16ns</w:t>
            </w:r>
          </w:p>
          <w:p>
            <w:pPr>
              <w:spacing w:before="120" w:after="0" w:line="280" w:lineRule="atLeast"/>
              <w:rPr>
                <w:rFonts w:hint="default" w:ascii="New York" w:hAnsi="New York"/>
                <w:lang w:val="en-US" w:eastAsia="zh-CN"/>
              </w:rPr>
            </w:pPr>
            <w:r>
              <w:rPr>
                <w:rFonts w:hint="default" w:ascii="New York" w:hAnsi="New York"/>
                <w:lang w:val="en-US" w:eastAsia="zh-CN"/>
              </w:rPr>
              <w:t>(32*Tc)</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16ns</w:t>
            </w:r>
          </w:p>
          <w:p>
            <w:pPr>
              <w:spacing w:before="120" w:after="0" w:line="280" w:lineRule="atLeast"/>
              <w:rPr>
                <w:rFonts w:hint="default" w:ascii="New York" w:hAnsi="New York"/>
                <w:lang w:val="en-US" w:eastAsia="zh-CN"/>
              </w:rPr>
            </w:pPr>
            <w:r>
              <w:rPr>
                <w:rFonts w:hint="default" w:ascii="New York" w:hAnsi="New York"/>
                <w:lang w:val="en-US" w:eastAsia="zh-CN"/>
              </w:rPr>
              <w:t>(32*Tc)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1" w:type="dxa"/>
          </w:tcPr>
          <w:p>
            <w:pPr>
              <w:spacing w:before="120" w:after="0" w:line="280" w:lineRule="atLeast"/>
              <w:rPr>
                <w:rFonts w:ascii="New York" w:hAnsi="New York"/>
                <w:lang w:eastAsia="zh-CN"/>
              </w:rPr>
            </w:pPr>
            <w:r>
              <w:rPr>
                <w:rFonts w:hint="eastAsia" w:ascii="New York" w:hAnsi="New York"/>
                <w:lang w:eastAsia="zh-CN"/>
              </w:rPr>
              <w:t>Total error</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462</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333</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116.75</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123.25</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242</w:t>
            </w:r>
          </w:p>
        </w:tc>
        <w:tc>
          <w:tcPr>
            <w:tcW w:w="1415" w:type="dxa"/>
          </w:tcPr>
          <w:p>
            <w:pPr>
              <w:spacing w:before="120" w:after="0" w:line="280" w:lineRule="atLeast"/>
              <w:rPr>
                <w:rFonts w:hint="default" w:ascii="New York" w:hAnsi="New York"/>
                <w:lang w:val="en-US" w:eastAsia="zh-CN"/>
              </w:rPr>
            </w:pPr>
            <w:r>
              <w:rPr>
                <w:rFonts w:hint="default" w:ascii="New York" w:hAnsi="New York"/>
                <w:lang w:val="en-US" w:eastAsia="zh-CN"/>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71" w:type="dxa"/>
            <w:gridSpan w:val="7"/>
          </w:tcPr>
          <w:p>
            <w:pPr>
              <w:numPr>
                <w:ilvl w:val="0"/>
                <w:numId w:val="14"/>
              </w:numPr>
              <w:spacing w:before="120" w:line="280" w:lineRule="atLeast"/>
              <w:rPr>
                <w:lang w:eastAsia="zh-CN"/>
              </w:rPr>
            </w:pPr>
            <w:r>
              <w:rPr>
                <w:rFonts w:hint="default"/>
                <w:lang w:val="en-US" w:eastAsia="zh-CN"/>
              </w:rPr>
              <w:t xml:space="preserve">e1: </w:t>
            </w:r>
            <w:r>
              <w:rPr>
                <w:rFonts w:hint="eastAsia"/>
                <w:lang w:eastAsia="zh-CN"/>
              </w:rPr>
              <w:t>BS transmitting time error</w:t>
            </w:r>
          </w:p>
          <w:p>
            <w:pPr>
              <w:numPr>
                <w:ilvl w:val="0"/>
                <w:numId w:val="14"/>
              </w:numPr>
              <w:spacing w:before="120" w:line="280" w:lineRule="atLeast"/>
              <w:rPr>
                <w:lang w:eastAsia="zh-CN"/>
              </w:rPr>
            </w:pPr>
            <w:r>
              <w:rPr>
                <w:rFonts w:hint="default"/>
                <w:lang w:val="en-US" w:eastAsia="zh-CN"/>
              </w:rPr>
              <w:t xml:space="preserve">e2: </w:t>
            </w:r>
            <w:r>
              <w:rPr>
                <w:rFonts w:hint="eastAsia"/>
                <w:lang w:eastAsia="zh-CN"/>
              </w:rPr>
              <w:t>UE downlink detection error</w:t>
            </w:r>
          </w:p>
          <w:p>
            <w:pPr>
              <w:numPr>
                <w:ilvl w:val="0"/>
                <w:numId w:val="14"/>
              </w:numPr>
              <w:spacing w:before="120" w:line="280" w:lineRule="atLeast"/>
              <w:rPr>
                <w:lang w:eastAsia="zh-CN"/>
              </w:rPr>
            </w:pPr>
            <w:r>
              <w:rPr>
                <w:rFonts w:hint="default"/>
                <w:lang w:val="en-US" w:eastAsia="zh-CN"/>
              </w:rPr>
              <w:t xml:space="preserve">e3: </w:t>
            </w:r>
            <w:r>
              <w:rPr>
                <w:rFonts w:hint="eastAsia"/>
                <w:lang w:eastAsia="zh-CN"/>
              </w:rPr>
              <w:t xml:space="preserve">Te </w:t>
            </w:r>
            <w:r>
              <w:rPr>
                <w:rFonts w:hint="default"/>
                <w:lang w:val="en-US" w:eastAsia="zh-CN"/>
              </w:rPr>
              <w:t>for TA-based PDC for TA-based PDC or UE Rx-Tx time difference accuracy for RTT-based PDC</w:t>
            </w:r>
          </w:p>
          <w:p>
            <w:pPr>
              <w:numPr>
                <w:ilvl w:val="0"/>
                <w:numId w:val="14"/>
              </w:numPr>
              <w:spacing w:before="120" w:line="280" w:lineRule="atLeast"/>
              <w:rPr>
                <w:lang w:eastAsia="zh-CN"/>
              </w:rPr>
            </w:pPr>
            <w:r>
              <w:rPr>
                <w:rFonts w:hint="default"/>
                <w:lang w:val="en-US" w:eastAsia="zh-CN"/>
              </w:rPr>
              <w:t xml:space="preserve">e4: </w:t>
            </w:r>
            <w:r>
              <w:rPr>
                <w:rFonts w:hint="eastAsia"/>
                <w:lang w:eastAsia="zh-CN"/>
              </w:rPr>
              <w:t>BS uplink detection error</w:t>
            </w:r>
            <w:r>
              <w:rPr>
                <w:rFonts w:hint="default"/>
                <w:lang w:val="en-US" w:eastAsia="zh-CN"/>
              </w:rPr>
              <w:t xml:space="preserve"> for TA-based PDC or gNB Rx-Tx </w:t>
            </w:r>
            <w:r>
              <w:rPr>
                <w:iCs/>
                <w:lang w:eastAsia="zh-CN"/>
              </w:rPr>
              <w:t>time difference accuracy</w:t>
            </w:r>
            <w:r>
              <w:rPr>
                <w:rFonts w:hint="default"/>
                <w:iCs/>
                <w:lang w:val="en-US" w:eastAsia="zh-CN"/>
              </w:rPr>
              <w:t xml:space="preserve"> for RTT-based PDC</w:t>
            </w:r>
          </w:p>
          <w:p>
            <w:pPr>
              <w:numPr>
                <w:ilvl w:val="0"/>
                <w:numId w:val="14"/>
              </w:numPr>
              <w:spacing w:before="120" w:line="280" w:lineRule="atLeast"/>
              <w:rPr>
                <w:rFonts w:hint="default"/>
                <w:lang w:val="en-US" w:eastAsia="zh-CN"/>
              </w:rPr>
            </w:pPr>
            <w:r>
              <w:rPr>
                <w:rFonts w:hint="default"/>
                <w:lang w:val="en-US" w:eastAsia="zh-CN"/>
              </w:rPr>
              <w:t>e5: TA indication error for TA-based PDC or RTT measurement report error for RTT-based PDC</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default"/>
          <w:b/>
          <w:bCs/>
          <w:i/>
          <w:iCs/>
          <w:lang w:val="en-US" w:eastAsia="zh-CN"/>
        </w:rPr>
        <w:t>Observation 1:</w:t>
      </w:r>
      <w:r>
        <w:rPr>
          <w:rFonts w:hint="default"/>
          <w:i/>
          <w:iCs/>
          <w:lang w:val="en-US" w:eastAsia="zh-CN"/>
        </w:rPr>
        <w:t xml:space="preserve"> The requirement can be satisfied for RTT-based PDC in case 20MHz RS is assumed.</w:t>
      </w:r>
    </w:p>
    <w:p>
      <w:pPr>
        <w:rPr>
          <w:rFonts w:hint="default"/>
          <w:lang w:val="en-US" w:eastAsia="zh-CN"/>
        </w:rPr>
      </w:pPr>
      <w:r>
        <w:rPr>
          <w:rFonts w:hint="default"/>
          <w:lang w:val="en-US" w:eastAsia="zh-CN"/>
        </w:rPr>
        <w:t>For TA-based PDC, the requirement cannot be satisfied. However, if the indication granularity is reduced (e.g., the enhanced timing advance MAC CE defined in IAB is reused) and the Te value is reduced by half, the requirement can also be satisfied for TA-based PDC. In RAN4#101-e, the following have been agreed, which indicate the smaller Te is possible.</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pStyle w:val="46"/>
              <w:keepNext w:val="0"/>
              <w:keepLines w:val="0"/>
              <w:widowControl/>
              <w:suppressLineNumbers w:val="0"/>
              <w:shd w:val="clear"/>
              <w:spacing w:before="0" w:beforeAutospacing="0" w:after="0" w:afterAutospacing="0" w:line="220" w:lineRule="atLeast"/>
              <w:ind w:left="360" w:right="0" w:firstLine="0"/>
              <w:rPr>
                <w:rFonts w:hint="eastAsia" w:ascii="Arial" w:hAnsi="Arial" w:cs="Arial"/>
                <w:b w:val="0"/>
                <w:i w:val="0"/>
                <w:caps w:val="0"/>
                <w:color w:val="000000"/>
                <w:spacing w:val="0"/>
                <w:sz w:val="21"/>
                <w:szCs w:val="21"/>
                <w:highlight w:val="none"/>
              </w:rPr>
            </w:pPr>
            <w:r>
              <w:rPr>
                <w:rFonts w:ascii="Symbol" w:hAnsi="Symbol" w:cs="Symbol"/>
                <w:b w:val="0"/>
                <w:i w:val="0"/>
                <w:caps w:val="0"/>
                <w:color w:val="000000"/>
                <w:spacing w:val="0"/>
                <w:sz w:val="21"/>
                <w:szCs w:val="21"/>
                <w:highlight w:val="none"/>
                <w:shd w:val="clear" w:fill="00FF00"/>
              </w:rPr>
              <w:t>· </w:t>
            </w:r>
            <w:r>
              <w:rPr>
                <w:rFonts w:hint="default" w:ascii="Times New Roman" w:hAnsi="Times New Roman" w:cs="Times New Roman"/>
                <w:b w:val="0"/>
                <w:i w:val="0"/>
                <w:caps w:val="0"/>
                <w:color w:val="000000"/>
                <w:spacing w:val="0"/>
                <w:sz w:val="21"/>
                <w:szCs w:val="21"/>
                <w:highlight w:val="none"/>
                <w:shd w:val="clear" w:fill="00FF00"/>
              </w:rPr>
              <w:t>Agreements</w:t>
            </w:r>
          </w:p>
          <w:p>
            <w:pPr>
              <w:pStyle w:val="46"/>
              <w:keepNext w:val="0"/>
              <w:keepLines w:val="0"/>
              <w:widowControl/>
              <w:suppressLineNumbers w:val="0"/>
              <w:shd w:val="clear"/>
              <w:spacing w:before="0" w:beforeAutospacing="0" w:after="0" w:afterAutospacing="0" w:line="220" w:lineRule="atLeast"/>
              <w:ind w:left="1080" w:right="0" w:firstLine="0"/>
              <w:rPr>
                <w:rFonts w:hint="default" w:ascii="Arial" w:hAnsi="Arial" w:cs="Arial"/>
                <w:b w:val="0"/>
                <w:i w:val="0"/>
                <w:caps w:val="0"/>
                <w:color w:val="000000"/>
                <w:spacing w:val="0"/>
                <w:sz w:val="21"/>
                <w:szCs w:val="21"/>
                <w:highlight w:val="none"/>
              </w:rPr>
            </w:pPr>
            <w:r>
              <w:rPr>
                <w:rFonts w:ascii="Courier New" w:hAnsi="Courier New" w:cs="Courier New"/>
                <w:b w:val="0"/>
                <w:i w:val="0"/>
                <w:caps w:val="0"/>
                <w:color w:val="000000"/>
                <w:spacing w:val="0"/>
                <w:sz w:val="21"/>
                <w:szCs w:val="21"/>
                <w:highlight w:val="none"/>
                <w:shd w:val="clear" w:fill="00FF00"/>
              </w:rPr>
              <w:t>o </w:t>
            </w:r>
            <w:r>
              <w:rPr>
                <w:rFonts w:hint="default" w:ascii="Times New Roman" w:hAnsi="Times New Roman" w:cs="Times New Roman"/>
                <w:b w:val="0"/>
                <w:i w:val="0"/>
                <w:caps w:val="0"/>
                <w:color w:val="000000"/>
                <w:spacing w:val="0"/>
                <w:sz w:val="21"/>
                <w:szCs w:val="21"/>
                <w:highlight w:val="none"/>
                <w:shd w:val="clear" w:fill="00FF00"/>
              </w:rPr>
              <w:t>There is no consensus in RAN4 whether</w:t>
            </w:r>
            <w:r>
              <w:rPr>
                <w:rStyle w:val="150"/>
                <w:rFonts w:hint="default" w:ascii="Times New Roman" w:hAnsi="Times New Roman" w:cs="Times New Roman"/>
                <w:b w:val="0"/>
                <w:i w:val="0"/>
                <w:caps w:val="0"/>
                <w:color w:val="000000"/>
                <w:spacing w:val="0"/>
                <w:sz w:val="21"/>
                <w:szCs w:val="21"/>
                <w:highlight w:val="none"/>
                <w:shd w:val="clear" w:fill="00FF00"/>
              </w:rPr>
              <w:t> </w:t>
            </w:r>
            <w:r>
              <w:rPr>
                <w:rFonts w:hint="default" w:ascii="Times New Roman" w:hAnsi="Times New Roman" w:cs="Times New Roman"/>
                <w:b w:val="0"/>
                <w:i w:val="0"/>
                <w:caps w:val="0"/>
                <w:color w:val="000000"/>
                <w:spacing w:val="0"/>
                <w:sz w:val="21"/>
                <w:szCs w:val="21"/>
                <w:highlight w:val="none"/>
                <w:shd w:val="clear" w:fill="00FF00"/>
              </w:rPr>
              <w:t>it is feasible to support a smaller value than the current Te assuming the existing conditions in TS 38.133 for Te requirement</w:t>
            </w:r>
          </w:p>
          <w:p>
            <w:pPr>
              <w:pStyle w:val="46"/>
              <w:keepNext w:val="0"/>
              <w:keepLines w:val="0"/>
              <w:widowControl/>
              <w:suppressLineNumbers w:val="0"/>
              <w:shd w:val="clear"/>
              <w:spacing w:before="0" w:beforeAutospacing="0" w:after="0" w:afterAutospacing="0" w:line="360" w:lineRule="atLeast"/>
              <w:ind w:left="0" w:right="0" w:firstLine="0"/>
              <w:rPr>
                <w:rFonts w:ascii="微软雅黑" w:hAnsi="微软雅黑" w:eastAsia="微软雅黑" w:cs="微软雅黑"/>
                <w:b w:val="0"/>
                <w:i w:val="0"/>
                <w:caps w:val="0"/>
                <w:color w:val="000000"/>
                <w:spacing w:val="0"/>
                <w:sz w:val="24"/>
                <w:szCs w:val="24"/>
                <w:highlight w:val="none"/>
              </w:rPr>
            </w:pPr>
          </w:p>
          <w:p>
            <w:pPr>
              <w:pStyle w:val="46"/>
              <w:keepNext w:val="0"/>
              <w:keepLines w:val="0"/>
              <w:widowControl/>
              <w:suppressLineNumbers w:val="0"/>
              <w:shd w:val="clear"/>
              <w:spacing w:before="0" w:beforeAutospacing="0" w:after="0" w:afterAutospacing="0" w:line="220" w:lineRule="atLeast"/>
              <w:ind w:left="360" w:right="0" w:firstLine="0"/>
              <w:rPr>
                <w:rFonts w:hint="default" w:ascii="Arial" w:hAnsi="Arial" w:cs="Arial"/>
                <w:b w:val="0"/>
                <w:i w:val="0"/>
                <w:caps w:val="0"/>
                <w:color w:val="000000"/>
                <w:spacing w:val="0"/>
                <w:sz w:val="21"/>
                <w:szCs w:val="21"/>
                <w:highlight w:val="none"/>
              </w:rPr>
            </w:pPr>
            <w:r>
              <w:rPr>
                <w:rFonts w:hint="default" w:ascii="Symbol" w:hAnsi="Symbol" w:cs="Symbol"/>
                <w:b w:val="0"/>
                <w:i w:val="0"/>
                <w:caps w:val="0"/>
                <w:color w:val="000000"/>
                <w:spacing w:val="0"/>
                <w:sz w:val="21"/>
                <w:szCs w:val="21"/>
                <w:highlight w:val="none"/>
                <w:shd w:val="clear" w:fill="00FF00"/>
              </w:rPr>
              <w:t>· </w:t>
            </w:r>
            <w:r>
              <w:rPr>
                <w:rFonts w:hint="default" w:ascii="Times New Roman" w:hAnsi="Times New Roman" w:cs="Times New Roman"/>
                <w:b w:val="0"/>
                <w:i w:val="0"/>
                <w:caps w:val="0"/>
                <w:color w:val="000000"/>
                <w:spacing w:val="0"/>
                <w:sz w:val="21"/>
                <w:szCs w:val="21"/>
                <w:highlight w:val="none"/>
                <w:shd w:val="clear" w:fill="00FF00"/>
              </w:rPr>
              <w:t>Agreements</w:t>
            </w:r>
          </w:p>
          <w:p>
            <w:pPr>
              <w:pStyle w:val="46"/>
              <w:keepNext w:val="0"/>
              <w:keepLines w:val="0"/>
              <w:widowControl/>
              <w:suppressLineNumbers w:val="0"/>
              <w:shd w:val="clear"/>
              <w:spacing w:before="0" w:beforeAutospacing="0" w:after="0" w:afterAutospacing="0" w:line="220" w:lineRule="atLeast"/>
              <w:ind w:left="1080" w:right="0" w:firstLine="0"/>
              <w:rPr>
                <w:rFonts w:hint="default" w:ascii="Arial" w:hAnsi="Arial" w:cs="Arial"/>
                <w:b w:val="0"/>
                <w:i w:val="0"/>
                <w:caps w:val="0"/>
                <w:color w:val="000000"/>
                <w:spacing w:val="0"/>
                <w:sz w:val="21"/>
                <w:szCs w:val="21"/>
                <w:highlight w:val="none"/>
              </w:rPr>
            </w:pPr>
            <w:r>
              <w:rPr>
                <w:rFonts w:hint="default" w:ascii="Courier New" w:hAnsi="Courier New" w:cs="Courier New"/>
                <w:b w:val="0"/>
                <w:i w:val="0"/>
                <w:caps w:val="0"/>
                <w:color w:val="000000"/>
                <w:spacing w:val="0"/>
                <w:sz w:val="21"/>
                <w:szCs w:val="21"/>
                <w:highlight w:val="none"/>
                <w:shd w:val="clear" w:fill="00FF00"/>
              </w:rPr>
              <w:t>o </w:t>
            </w:r>
            <w:r>
              <w:rPr>
                <w:rFonts w:hint="default" w:ascii="Times New Roman" w:hAnsi="Times New Roman" w:cs="Times New Roman"/>
                <w:b w:val="0"/>
                <w:i w:val="0"/>
                <w:caps w:val="0"/>
                <w:color w:val="000000"/>
                <w:spacing w:val="0"/>
                <w:sz w:val="21"/>
                <w:szCs w:val="21"/>
                <w:highlight w:val="none"/>
                <w:shd w:val="clear" w:fill="00FF00"/>
              </w:rPr>
              <w:t>It is feasible to support a smaller Te value than the current Te for the use of propagation delay compensation under assumption of using TRS (or other RS used for Te estimation) instead of SSB</w:t>
            </w:r>
          </w:p>
          <w:p>
            <w:pPr>
              <w:pStyle w:val="46"/>
              <w:keepNext w:val="0"/>
              <w:keepLines w:val="0"/>
              <w:widowControl/>
              <w:suppressLineNumbers w:val="0"/>
              <w:shd w:val="clear"/>
              <w:spacing w:before="0" w:beforeAutospacing="0" w:after="0" w:afterAutospacing="0" w:line="220" w:lineRule="atLeast"/>
              <w:ind w:left="1800" w:right="0" w:firstLine="0"/>
              <w:rPr>
                <w:rFonts w:hint="default" w:ascii="Arial" w:hAnsi="Arial" w:cs="Arial"/>
                <w:b w:val="0"/>
                <w:i w:val="0"/>
                <w:caps w:val="0"/>
                <w:color w:val="000000"/>
                <w:spacing w:val="0"/>
                <w:sz w:val="21"/>
                <w:szCs w:val="21"/>
                <w:highlight w:val="none"/>
              </w:rPr>
            </w:pPr>
            <w:r>
              <w:rPr>
                <w:rFonts w:ascii="Wingdings" w:hAnsi="Wingdings" w:cs="Wingdings"/>
                <w:b w:val="0"/>
                <w:i w:val="0"/>
                <w:caps w:val="0"/>
                <w:color w:val="000000"/>
                <w:spacing w:val="0"/>
                <w:sz w:val="21"/>
                <w:szCs w:val="21"/>
                <w:highlight w:val="none"/>
                <w:shd w:val="clear" w:fill="00FF00"/>
              </w:rPr>
              <w:t>§ </w:t>
            </w:r>
            <w:r>
              <w:rPr>
                <w:rFonts w:hint="default" w:ascii="Times New Roman" w:hAnsi="Times New Roman" w:cs="Times New Roman"/>
                <w:b w:val="0"/>
                <w:i w:val="0"/>
                <w:caps w:val="0"/>
                <w:color w:val="000000"/>
                <w:spacing w:val="0"/>
                <w:sz w:val="21"/>
                <w:szCs w:val="21"/>
                <w:highlight w:val="none"/>
                <w:shd w:val="clear" w:fill="00FF00"/>
              </w:rPr>
              <w:t>Smaller Te can be achieved when TRS (or other RS) bandwidth is larger than SSB bandwidth</w:t>
            </w:r>
          </w:p>
          <w:p>
            <w:pPr>
              <w:pStyle w:val="46"/>
              <w:keepNext w:val="0"/>
              <w:keepLines w:val="0"/>
              <w:widowControl/>
              <w:suppressLineNumbers w:val="0"/>
              <w:shd w:val="clear"/>
              <w:spacing w:before="0" w:beforeAutospacing="0" w:after="0" w:afterAutospacing="0" w:line="220" w:lineRule="atLeast"/>
              <w:ind w:left="1800" w:right="0" w:firstLine="0"/>
              <w:rPr>
                <w:rFonts w:hint="default" w:ascii="Arial" w:hAnsi="Arial" w:cs="Arial"/>
                <w:b w:val="0"/>
                <w:i w:val="0"/>
                <w:caps w:val="0"/>
                <w:color w:val="000000"/>
                <w:spacing w:val="0"/>
                <w:sz w:val="21"/>
                <w:szCs w:val="21"/>
                <w:highlight w:val="none"/>
              </w:rPr>
            </w:pPr>
            <w:r>
              <w:rPr>
                <w:rFonts w:hint="default" w:ascii="Wingdings" w:hAnsi="Wingdings" w:cs="Wingdings"/>
                <w:b w:val="0"/>
                <w:i w:val="0"/>
                <w:caps w:val="0"/>
                <w:color w:val="000000"/>
                <w:spacing w:val="0"/>
                <w:sz w:val="21"/>
                <w:szCs w:val="21"/>
                <w:highlight w:val="none"/>
                <w:shd w:val="clear" w:fill="00FF00"/>
              </w:rPr>
              <w:t>§ </w:t>
            </w:r>
            <w:r>
              <w:rPr>
                <w:rFonts w:hint="default" w:ascii="Times New Roman" w:hAnsi="Times New Roman" w:cs="Times New Roman"/>
                <w:b w:val="0"/>
                <w:i w:val="0"/>
                <w:caps w:val="0"/>
                <w:color w:val="000000"/>
                <w:spacing w:val="0"/>
                <w:sz w:val="21"/>
                <w:szCs w:val="21"/>
                <w:highlight w:val="none"/>
                <w:shd w:val="clear" w:fill="00FF00"/>
              </w:rPr>
              <w:t>Smaller Te can be achieved for UE is operating in RRC_CONNECTED mode</w:t>
            </w:r>
          </w:p>
          <w:p>
            <w:pPr>
              <w:pStyle w:val="46"/>
              <w:keepNext w:val="0"/>
              <w:keepLines w:val="0"/>
              <w:widowControl/>
              <w:suppressLineNumbers w:val="0"/>
              <w:shd w:val="clear"/>
              <w:spacing w:before="0" w:beforeAutospacing="0" w:after="0" w:afterAutospacing="0" w:line="220" w:lineRule="atLeast"/>
              <w:ind w:left="1800" w:right="0" w:firstLine="0"/>
              <w:rPr>
                <w:rFonts w:hint="default" w:ascii="Arial" w:hAnsi="Arial" w:cs="Arial"/>
                <w:b w:val="0"/>
                <w:i w:val="0"/>
                <w:caps w:val="0"/>
                <w:color w:val="000000"/>
                <w:spacing w:val="0"/>
                <w:sz w:val="21"/>
                <w:szCs w:val="21"/>
                <w:highlight w:val="none"/>
              </w:rPr>
            </w:pPr>
            <w:r>
              <w:rPr>
                <w:rFonts w:hint="default" w:ascii="Wingdings" w:hAnsi="Wingdings" w:cs="Wingdings"/>
                <w:b w:val="0"/>
                <w:i w:val="0"/>
                <w:caps w:val="0"/>
                <w:color w:val="000000"/>
                <w:spacing w:val="0"/>
                <w:sz w:val="21"/>
                <w:szCs w:val="21"/>
                <w:highlight w:val="none"/>
                <w:shd w:val="clear" w:fill="00FF00"/>
              </w:rPr>
              <w:t>§ </w:t>
            </w:r>
            <w:r>
              <w:rPr>
                <w:rFonts w:hint="default" w:ascii="Times New Roman" w:hAnsi="Times New Roman" w:cs="Times New Roman"/>
                <w:b w:val="0"/>
                <w:i w:val="0"/>
                <w:caps w:val="0"/>
                <w:color w:val="000000"/>
                <w:spacing w:val="0"/>
                <w:sz w:val="21"/>
                <w:szCs w:val="21"/>
                <w:highlight w:val="none"/>
                <w:shd w:val="clear" w:fill="00FF00"/>
              </w:rPr>
              <w:t>FFS whether a smaller Te can be achieved for the first transmission in the DRX cycle</w:t>
            </w:r>
          </w:p>
          <w:p>
            <w:pPr>
              <w:pStyle w:val="46"/>
              <w:keepNext w:val="0"/>
              <w:keepLines w:val="0"/>
              <w:widowControl/>
              <w:suppressLineNumbers w:val="0"/>
              <w:shd w:val="clear"/>
              <w:spacing w:before="0" w:beforeAutospacing="0" w:after="0" w:afterAutospacing="0" w:line="220" w:lineRule="atLeast"/>
              <w:ind w:left="2520" w:right="0" w:firstLine="0"/>
              <w:rPr>
                <w:rFonts w:hint="default" w:ascii="Arial" w:hAnsi="Arial" w:cs="Arial"/>
                <w:b w:val="0"/>
                <w:i w:val="0"/>
                <w:caps w:val="0"/>
                <w:color w:val="000000"/>
                <w:spacing w:val="0"/>
                <w:sz w:val="21"/>
                <w:szCs w:val="21"/>
                <w:highlight w:val="none"/>
              </w:rPr>
            </w:pPr>
            <w:r>
              <w:rPr>
                <w:rFonts w:hint="default" w:ascii="Symbol" w:hAnsi="Symbol" w:cs="Symbol"/>
                <w:b w:val="0"/>
                <w:i w:val="0"/>
                <w:caps w:val="0"/>
                <w:color w:val="000000"/>
                <w:spacing w:val="0"/>
                <w:sz w:val="21"/>
                <w:szCs w:val="21"/>
                <w:highlight w:val="none"/>
                <w:shd w:val="clear" w:fill="00FF00"/>
              </w:rPr>
              <w:t>· </w:t>
            </w:r>
            <w:r>
              <w:rPr>
                <w:rFonts w:hint="default" w:ascii="Times New Roman" w:hAnsi="Times New Roman" w:cs="Times New Roman"/>
                <w:b w:val="0"/>
                <w:i w:val="0"/>
                <w:caps w:val="0"/>
                <w:color w:val="000000"/>
                <w:spacing w:val="0"/>
                <w:sz w:val="21"/>
                <w:szCs w:val="21"/>
                <w:highlight w:val="none"/>
                <w:shd w:val="clear" w:fill="00FF00"/>
              </w:rPr>
              <w:t>Further check with RAN1 if presence of TRS (or other RS) can be guaranteed during the DRX OFF</w:t>
            </w:r>
          </w:p>
          <w:p>
            <w:pPr>
              <w:pStyle w:val="46"/>
              <w:keepNext w:val="0"/>
              <w:keepLines w:val="0"/>
              <w:widowControl/>
              <w:suppressLineNumbers w:val="0"/>
              <w:shd w:val="clear"/>
              <w:spacing w:before="0" w:beforeAutospacing="0" w:after="0" w:afterAutospacing="0" w:line="220" w:lineRule="atLeast"/>
              <w:ind w:left="1800" w:right="0" w:firstLine="0"/>
              <w:rPr>
                <w:rFonts w:hint="default"/>
                <w:vertAlign w:val="baseline"/>
                <w:lang w:val="en-US" w:eastAsia="zh-CN"/>
              </w:rPr>
            </w:pPr>
            <w:r>
              <w:rPr>
                <w:rFonts w:hint="default" w:ascii="Wingdings" w:hAnsi="Wingdings" w:cs="Wingdings"/>
                <w:b w:val="0"/>
                <w:i w:val="0"/>
                <w:caps w:val="0"/>
                <w:color w:val="000000"/>
                <w:spacing w:val="0"/>
                <w:sz w:val="21"/>
                <w:szCs w:val="21"/>
                <w:highlight w:val="none"/>
                <w:shd w:val="clear" w:fill="00FF00"/>
              </w:rPr>
              <w:t>§ </w:t>
            </w:r>
            <w:r>
              <w:rPr>
                <w:rFonts w:hint="default" w:ascii="Times New Roman" w:hAnsi="Times New Roman" w:cs="Times New Roman"/>
                <w:b w:val="0"/>
                <w:i w:val="0"/>
                <w:caps w:val="0"/>
                <w:color w:val="000000"/>
                <w:spacing w:val="0"/>
                <w:sz w:val="21"/>
                <w:szCs w:val="21"/>
                <w:highlight w:val="none"/>
                <w:shd w:val="clear" w:fill="00FF00"/>
              </w:rPr>
              <w:t>Support of Smaller Te can be defined as an optional Rel-17 capability and should not apply to all UEs</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default"/>
          <w:b/>
          <w:bCs/>
          <w:i/>
          <w:iCs/>
          <w:lang w:val="en-US" w:eastAsia="zh-CN"/>
        </w:rPr>
        <w:t>Observation 2:</w:t>
      </w:r>
      <w:r>
        <w:rPr>
          <w:rFonts w:hint="default"/>
          <w:i/>
          <w:iCs/>
          <w:lang w:val="en-US" w:eastAsia="zh-CN"/>
        </w:rPr>
        <w:t xml:space="preserve"> The requirement can only be satisfied for TA-based PDC after enhancements, e.g., the enhanced timing advance MAC CE defined in IAB is reused and the Te value is reduced by half.</w:t>
      </w:r>
    </w:p>
    <w:p>
      <w:pPr>
        <w:rPr>
          <w:rFonts w:hint="default"/>
          <w:lang w:val="en-US" w:eastAsia="zh-CN"/>
        </w:rPr>
      </w:pPr>
      <w:r>
        <w:rPr>
          <w:rFonts w:hint="default"/>
          <w:lang w:val="en-US" w:eastAsia="zh-CN"/>
        </w:rPr>
        <w:t>In RAN1#106b-e, it was agreed that one CSI-RS for tracking (TRS)/PRS configuration for Rx-Tx time difference estimation at UE side and one SRS configuration for Rx-Tx time difference estimation at gNB side are configured for PDC in Rel-17 if RTT-based PDC is supported. However, if the UE and the network measure the different RS pair, it may lead to double gNB Rx-Tx time difference errors and UE Rx-Tx time difference errors in the evaluation. More details can be found in the section 5.2 below copied from our contribution [4]. Therefore, since Alt 1 for evaluation has been adopted with only one gNB Rx-Tx time difference error and UE Rx-Tx time difference error considered, measuring the same RS pair should be ensured. For example, the information that which RS pair is measured should be indicated from the network to the UE.</w:t>
      </w:r>
    </w:p>
    <w:p>
      <w:pPr>
        <w:rPr>
          <w:rFonts w:hint="default"/>
          <w:i/>
          <w:iCs/>
          <w:lang w:val="en-US" w:eastAsia="zh-CN"/>
        </w:rPr>
      </w:pPr>
      <w:r>
        <w:rPr>
          <w:rFonts w:hint="default"/>
          <w:b/>
          <w:bCs/>
          <w:i/>
          <w:iCs/>
          <w:lang w:val="en-US" w:eastAsia="zh-CN"/>
        </w:rPr>
        <w:t>Proposal 2:</w:t>
      </w:r>
      <w:r>
        <w:rPr>
          <w:rFonts w:hint="default"/>
          <w:i/>
          <w:iCs/>
          <w:lang w:val="en-US" w:eastAsia="zh-CN"/>
        </w:rPr>
        <w:t xml:space="preserve"> The network should indicate to the UE that which RS is measured such that the network and the UE can measure the same RS, if RTT-based PDC is supported. For example, the frame number for the TRS/PRS and SRS can be indicated.</w:t>
      </w:r>
    </w:p>
    <w:p>
      <w:pPr>
        <w:rPr>
          <w:rFonts w:hint="default"/>
          <w:lang w:val="en-US" w:eastAsia="zh-CN"/>
        </w:rPr>
      </w:pPr>
      <w:r>
        <w:rPr>
          <w:rFonts w:hint="default"/>
          <w:lang w:val="en-US" w:eastAsia="zh-CN"/>
        </w:rPr>
        <w:t xml:space="preserve">For the Rx-Tx time difference measurement reporting, the granularity should be discussed. Even though the smallest granularity is used for evaluation. In our understanding, if the RTT-based PDC is supported, it can also be used for the other scenario with lower requirement, e.g., smart grid, where a larger granularity can also work. Considering that multiple granularity can provide more flexibility and forward </w:t>
      </w:r>
      <w:r>
        <w:rPr>
          <w:iCs/>
          <w:lang w:eastAsia="zh-CN"/>
        </w:rPr>
        <w:t>compatibility</w:t>
      </w:r>
      <w:r>
        <w:rPr>
          <w:rFonts w:hint="default"/>
          <w:iCs/>
          <w:lang w:val="en-US" w:eastAsia="zh-CN"/>
        </w:rPr>
        <w:t xml:space="preserve">, we think all the </w:t>
      </w:r>
      <w:r>
        <w:rPr>
          <w:rFonts w:hint="default"/>
          <w:lang w:val="en-US" w:eastAsia="zh-CN"/>
        </w:rPr>
        <w:t>granularity defined in positioning WI can be supported if RTT-based PDC is supported. In this case, the network can choose suitable granularity for measurement report delivery or configure the granularity for the UE to report the measurement result.</w:t>
      </w:r>
    </w:p>
    <w:p>
      <w:pPr>
        <w:rPr>
          <w:rFonts w:hint="default"/>
          <w:i/>
          <w:iCs/>
          <w:lang w:val="en-US" w:eastAsia="zh-CN"/>
        </w:rPr>
      </w:pPr>
      <w:r>
        <w:rPr>
          <w:rFonts w:hint="default"/>
          <w:b/>
          <w:bCs/>
          <w:i/>
          <w:iCs/>
          <w:lang w:val="en-US" w:eastAsia="zh-CN"/>
        </w:rPr>
        <w:t>Proposal 3:</w:t>
      </w:r>
      <w:r>
        <w:rPr>
          <w:rFonts w:hint="default"/>
          <w:i/>
          <w:iCs/>
          <w:lang w:val="en-US" w:eastAsia="zh-CN"/>
        </w:rPr>
        <w:t xml:space="preserve"> All the granularity for the Rx-Tx time difference measurement reporting defined in TS38.133 should be supported if RTT-based PDC is supported.</w:t>
      </w:r>
    </w:p>
    <w:p>
      <w:pPr>
        <w:rPr>
          <w:rFonts w:hint="default"/>
          <w:highlight w:val="none"/>
          <w:lang w:val="en-US" w:eastAsia="zh-CN"/>
        </w:rPr>
      </w:pPr>
      <w:r>
        <w:rPr>
          <w:rFonts w:hint="default"/>
          <w:highlight w:val="none"/>
          <w:lang w:val="en-US" w:eastAsia="zh-CN"/>
        </w:rPr>
        <w:t>In positioning, the Rx-Tx time difference measurement is reported via RRC signaling. From RAN1 persepctive, there is no issue on the reporting latency since the receiver can keep its measurement report record for a long time. In addition, the PDC is performed only when needed. Therefore, RRC signaling for Rx-Tx time difference measurement reporting is adequate if RTT-based PDC is supported.</w:t>
      </w:r>
    </w:p>
    <w:p>
      <w:pPr>
        <w:rPr>
          <w:rFonts w:hint="default"/>
          <w:i/>
          <w:iCs/>
          <w:highlight w:val="none"/>
          <w:lang w:val="en-US" w:eastAsia="zh-CN"/>
        </w:rPr>
      </w:pPr>
      <w:r>
        <w:rPr>
          <w:rFonts w:hint="default"/>
          <w:b/>
          <w:bCs/>
          <w:i/>
          <w:iCs/>
          <w:highlight w:val="none"/>
          <w:lang w:val="en-US" w:eastAsia="zh-CN"/>
        </w:rPr>
        <w:t>Proposal 4:</w:t>
      </w:r>
      <w:r>
        <w:rPr>
          <w:rFonts w:hint="default"/>
          <w:i/>
          <w:iCs/>
          <w:highlight w:val="none"/>
          <w:lang w:val="en-US" w:eastAsia="zh-CN"/>
        </w:rPr>
        <w:t xml:space="preserve"> RRC signaling for Rx-Tx time difference measurement reporting should be supported if RTT-based PDC is supported.</w:t>
      </w:r>
    </w:p>
    <w:p>
      <w:pPr>
        <w:rPr>
          <w:highlight w:val="none"/>
          <w:lang w:eastAsia="zh-CN"/>
        </w:rPr>
      </w:pPr>
      <w:r>
        <w:rPr>
          <w:rFonts w:hint="default"/>
          <w:highlight w:val="none"/>
          <w:lang w:val="en-US" w:eastAsia="zh-CN"/>
        </w:rPr>
        <w:t>If TRS/PRS and SRS are configured for PDC in Rel-17, the UE measurement efforts are the same for TA-based PDC and RTT-based PDC. However, for the RTT-based PDC, the new measurement type should be introduced. In addition, if PRS is used, more resource is needed since TRS and SRS should configured for the UE anyway. Therefore, TA-based PDC is preferred.</w:t>
      </w:r>
    </w:p>
    <w:p>
      <w:pPr>
        <w:spacing w:before="120" w:beforeLines="50"/>
        <w:rPr>
          <w:i/>
          <w:iCs/>
          <w:highlight w:val="none"/>
          <w:lang w:eastAsia="zh-CN"/>
        </w:rPr>
      </w:pPr>
      <w:r>
        <w:rPr>
          <w:rFonts w:hint="eastAsia"/>
          <w:b/>
          <w:bCs/>
          <w:i/>
          <w:iCs/>
          <w:highlight w:val="none"/>
          <w:lang w:eastAsia="zh-CN"/>
        </w:rPr>
        <w:t xml:space="preserve">Proposal </w:t>
      </w:r>
      <w:r>
        <w:rPr>
          <w:rFonts w:hint="default"/>
          <w:b/>
          <w:bCs/>
          <w:i/>
          <w:iCs/>
          <w:highlight w:val="none"/>
          <w:lang w:val="en-US" w:eastAsia="zh-CN"/>
        </w:rPr>
        <w:t>5</w:t>
      </w:r>
      <w:r>
        <w:rPr>
          <w:rFonts w:hint="eastAsia"/>
          <w:b/>
          <w:bCs/>
          <w:i/>
          <w:iCs/>
          <w:highlight w:val="none"/>
          <w:lang w:eastAsia="zh-CN"/>
        </w:rPr>
        <w:t>:</w:t>
      </w:r>
      <w:r>
        <w:rPr>
          <w:rFonts w:hint="eastAsia"/>
          <w:i/>
          <w:iCs/>
          <w:highlight w:val="none"/>
          <w:lang w:eastAsia="zh-CN"/>
        </w:rPr>
        <w:t xml:space="preserve"> TA-based </w:t>
      </w:r>
      <w:r>
        <w:rPr>
          <w:rFonts w:hint="default"/>
          <w:i/>
          <w:iCs/>
          <w:highlight w:val="none"/>
          <w:lang w:val="en-US" w:eastAsia="zh-CN"/>
        </w:rPr>
        <w:t xml:space="preserve">PDC </w:t>
      </w:r>
      <w:r>
        <w:rPr>
          <w:rFonts w:hint="eastAsia"/>
          <w:i/>
          <w:iCs/>
          <w:highlight w:val="none"/>
          <w:lang w:eastAsia="zh-CN"/>
        </w:rPr>
        <w:t xml:space="preserve">should be </w:t>
      </w:r>
      <w:r>
        <w:rPr>
          <w:rFonts w:hint="default"/>
          <w:i/>
          <w:iCs/>
          <w:highlight w:val="none"/>
          <w:lang w:val="en-US" w:eastAsia="zh-CN"/>
        </w:rPr>
        <w:t xml:space="preserve">supported </w:t>
      </w:r>
      <w:r>
        <w:rPr>
          <w:rFonts w:hint="eastAsia"/>
          <w:i/>
          <w:iCs/>
          <w:highlight w:val="none"/>
          <w:lang w:eastAsia="zh-CN"/>
        </w:rPr>
        <w:t>for the propagation delay compensation enhancements</w:t>
      </w:r>
      <w:r>
        <w:rPr>
          <w:rFonts w:hint="default"/>
          <w:i/>
          <w:iCs/>
          <w:highlight w:val="none"/>
          <w:lang w:val="en-US" w:eastAsia="zh-CN"/>
        </w:rPr>
        <w:t xml:space="preserve"> with</w:t>
      </w:r>
      <w:r>
        <w:rPr>
          <w:rFonts w:hint="eastAsia"/>
          <w:i/>
          <w:iCs/>
          <w:highlight w:val="none"/>
          <w:lang w:eastAsia="zh-CN"/>
        </w:rPr>
        <w:t xml:space="preserve"> reduc</w:t>
      </w:r>
      <w:r>
        <w:rPr>
          <w:rFonts w:hint="default"/>
          <w:i/>
          <w:iCs/>
          <w:highlight w:val="none"/>
          <w:lang w:val="en-US" w:eastAsia="zh-CN"/>
        </w:rPr>
        <w:t>ing</w:t>
      </w:r>
      <w:r>
        <w:rPr>
          <w:rFonts w:hint="eastAsia"/>
          <w:i/>
          <w:iCs/>
          <w:highlight w:val="none"/>
          <w:lang w:eastAsia="zh-CN"/>
        </w:rPr>
        <w:t xml:space="preserve"> the initial transmission error</w:t>
      </w:r>
      <w:r>
        <w:rPr>
          <w:rFonts w:hint="default"/>
          <w:i/>
          <w:iCs/>
          <w:highlight w:val="none"/>
          <w:lang w:val="en-US" w:eastAsia="zh-CN"/>
        </w:rPr>
        <w:t xml:space="preserve"> (Te) and reusing the enhanced timing advance MAC CE</w:t>
      </w:r>
      <w:r>
        <w:rPr>
          <w:rFonts w:hint="eastAsia"/>
          <w:i/>
          <w:iCs/>
          <w:highlight w:val="none"/>
          <w:lang w:eastAsia="zh-CN"/>
        </w:rPr>
        <w:t>.</w:t>
      </w:r>
    </w:p>
    <w:p>
      <w:pPr>
        <w:pStyle w:val="2"/>
        <w:rPr>
          <w:lang w:eastAsia="zh-CN"/>
        </w:rPr>
      </w:pPr>
      <w:r>
        <w:rPr>
          <w:rFonts w:hint="eastAsia"/>
          <w:lang w:eastAsia="zh-CN"/>
        </w:rPr>
        <w:t>C</w:t>
      </w:r>
      <w:r>
        <w:rPr>
          <w:lang w:eastAsia="zh-CN"/>
        </w:rPr>
        <w:t>onclusion</w:t>
      </w:r>
    </w:p>
    <w:p>
      <w:pPr>
        <w:rPr>
          <w:rFonts w:hint="eastAsia"/>
          <w:lang w:eastAsia="zh-CN"/>
        </w:rPr>
      </w:pPr>
      <w:r>
        <w:rPr>
          <w:rFonts w:hint="eastAsia"/>
          <w:lang w:eastAsia="zh-CN"/>
        </w:rPr>
        <w:t>According to the discussion above, we have the following observations and proposals.</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default"/>
          <w:b/>
          <w:bCs/>
          <w:i/>
          <w:iCs/>
          <w:lang w:val="en-US" w:eastAsia="zh-CN"/>
        </w:rPr>
        <w:t>Observation 1:</w:t>
      </w:r>
      <w:r>
        <w:rPr>
          <w:rFonts w:hint="default"/>
          <w:i/>
          <w:iCs/>
          <w:lang w:val="en-US" w:eastAsia="zh-CN"/>
        </w:rPr>
        <w:t xml:space="preserve"> The requirement can be satisfied for RTT-based PDC in case 20MHz RS is assumed.</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default"/>
          <w:b/>
          <w:bCs/>
          <w:i/>
          <w:iCs/>
          <w:lang w:val="en-US" w:eastAsia="zh-CN"/>
        </w:rPr>
        <w:t>Observation 2:</w:t>
      </w:r>
      <w:r>
        <w:rPr>
          <w:rFonts w:hint="default"/>
          <w:i/>
          <w:iCs/>
          <w:lang w:val="en-US" w:eastAsia="zh-CN"/>
        </w:rPr>
        <w:t xml:space="preserve"> The requirement can only be satisfied for TA-based PDC after enhancements, e.g., the enhanced timing advance MAC CE defined in IAB is reused and the Te value is reduced by half.</w:t>
      </w:r>
    </w:p>
    <w:p>
      <w:pPr>
        <w:rPr>
          <w:rFonts w:hint="default"/>
          <w:i/>
          <w:iCs/>
          <w:lang w:val="en-US" w:eastAsia="zh-CN"/>
        </w:rPr>
      </w:pPr>
      <w:r>
        <w:rPr>
          <w:rFonts w:hint="default"/>
          <w:b/>
          <w:bCs/>
          <w:i/>
          <w:iCs/>
          <w:lang w:val="en-US" w:eastAsia="zh-CN"/>
        </w:rPr>
        <w:t>Proposal 1:</w:t>
      </w:r>
      <w:r>
        <w:rPr>
          <w:rFonts w:hint="default"/>
          <w:i/>
          <w:iCs/>
          <w:lang w:val="en-US" w:eastAsia="zh-CN"/>
        </w:rPr>
        <w:t xml:space="preserve"> If enhanced TA-based PDC with reduced Te is supported in Rel-17, one SRS configuration can be configured for TA-based PDC.</w:t>
      </w:r>
    </w:p>
    <w:p>
      <w:pPr>
        <w:rPr>
          <w:rFonts w:hint="default"/>
          <w:i/>
          <w:iCs/>
          <w:lang w:val="en-US" w:eastAsia="zh-CN"/>
        </w:rPr>
      </w:pPr>
      <w:r>
        <w:rPr>
          <w:rFonts w:hint="default"/>
          <w:b/>
          <w:bCs/>
          <w:i/>
          <w:iCs/>
          <w:lang w:val="en-US" w:eastAsia="zh-CN"/>
        </w:rPr>
        <w:t>Proposal 2:</w:t>
      </w:r>
      <w:r>
        <w:rPr>
          <w:rFonts w:hint="default"/>
          <w:i/>
          <w:iCs/>
          <w:lang w:val="en-US" w:eastAsia="zh-CN"/>
        </w:rPr>
        <w:t xml:space="preserve"> The network should indicate to the UE that which RS is measured such that the network and the UE can measure the same RS, if RTT-based PDC is supported. For example, the frame number for the TRS/PRS and SRS can be indicated.</w:t>
      </w:r>
    </w:p>
    <w:p>
      <w:pPr>
        <w:rPr>
          <w:rFonts w:hint="default"/>
          <w:i/>
          <w:iCs/>
          <w:lang w:val="en-US" w:eastAsia="zh-CN"/>
        </w:rPr>
      </w:pPr>
      <w:r>
        <w:rPr>
          <w:rFonts w:hint="default"/>
          <w:b/>
          <w:bCs/>
          <w:i/>
          <w:iCs/>
          <w:lang w:val="en-US" w:eastAsia="zh-CN"/>
        </w:rPr>
        <w:t>Proposal 3:</w:t>
      </w:r>
      <w:r>
        <w:rPr>
          <w:rFonts w:hint="default"/>
          <w:i/>
          <w:iCs/>
          <w:lang w:val="en-US" w:eastAsia="zh-CN"/>
        </w:rPr>
        <w:t xml:space="preserve"> All the granularity for the Rx-Tx time difference measurement reporting defined in TS38.133 should be supported if RTT-based PDC is supported.</w:t>
      </w:r>
    </w:p>
    <w:p>
      <w:pPr>
        <w:rPr>
          <w:rFonts w:hint="default"/>
          <w:i/>
          <w:iCs/>
          <w:highlight w:val="none"/>
          <w:lang w:val="en-US" w:eastAsia="zh-CN"/>
        </w:rPr>
      </w:pPr>
      <w:r>
        <w:rPr>
          <w:rFonts w:hint="default"/>
          <w:b/>
          <w:bCs/>
          <w:i/>
          <w:iCs/>
          <w:highlight w:val="none"/>
          <w:lang w:val="en-US" w:eastAsia="zh-CN"/>
        </w:rPr>
        <w:t>Proposal 4:</w:t>
      </w:r>
      <w:r>
        <w:rPr>
          <w:rFonts w:hint="default"/>
          <w:i/>
          <w:iCs/>
          <w:highlight w:val="none"/>
          <w:lang w:val="en-US" w:eastAsia="zh-CN"/>
        </w:rPr>
        <w:t xml:space="preserve"> RRC signaling for Rx-Tx time difference measurement reporting should be supported if RTT-based PDC is supported.</w:t>
      </w:r>
    </w:p>
    <w:p>
      <w:pPr>
        <w:spacing w:before="120" w:beforeLines="50"/>
        <w:rPr>
          <w:i/>
          <w:iCs/>
          <w:highlight w:val="none"/>
          <w:lang w:eastAsia="zh-CN"/>
        </w:rPr>
      </w:pPr>
      <w:r>
        <w:rPr>
          <w:rFonts w:hint="eastAsia"/>
          <w:b/>
          <w:bCs/>
          <w:i/>
          <w:iCs/>
          <w:highlight w:val="none"/>
          <w:lang w:eastAsia="zh-CN"/>
        </w:rPr>
        <w:t xml:space="preserve">Proposal </w:t>
      </w:r>
      <w:r>
        <w:rPr>
          <w:rFonts w:hint="default"/>
          <w:b/>
          <w:bCs/>
          <w:i/>
          <w:iCs/>
          <w:highlight w:val="none"/>
          <w:lang w:val="en-US" w:eastAsia="zh-CN"/>
        </w:rPr>
        <w:t>5</w:t>
      </w:r>
      <w:r>
        <w:rPr>
          <w:rFonts w:hint="eastAsia"/>
          <w:b/>
          <w:bCs/>
          <w:i/>
          <w:iCs/>
          <w:highlight w:val="none"/>
          <w:lang w:eastAsia="zh-CN"/>
        </w:rPr>
        <w:t>:</w:t>
      </w:r>
      <w:r>
        <w:rPr>
          <w:rFonts w:hint="eastAsia"/>
          <w:i/>
          <w:iCs/>
          <w:highlight w:val="none"/>
          <w:lang w:eastAsia="zh-CN"/>
        </w:rPr>
        <w:t xml:space="preserve"> TA-based </w:t>
      </w:r>
      <w:r>
        <w:rPr>
          <w:rFonts w:hint="default"/>
          <w:i/>
          <w:iCs/>
          <w:highlight w:val="none"/>
          <w:lang w:val="en-US" w:eastAsia="zh-CN"/>
        </w:rPr>
        <w:t xml:space="preserve">PDC </w:t>
      </w:r>
      <w:r>
        <w:rPr>
          <w:rFonts w:hint="eastAsia"/>
          <w:i/>
          <w:iCs/>
          <w:highlight w:val="none"/>
          <w:lang w:eastAsia="zh-CN"/>
        </w:rPr>
        <w:t xml:space="preserve">should be </w:t>
      </w:r>
      <w:r>
        <w:rPr>
          <w:rFonts w:hint="default"/>
          <w:i/>
          <w:iCs/>
          <w:highlight w:val="none"/>
          <w:lang w:val="en-US" w:eastAsia="zh-CN"/>
        </w:rPr>
        <w:t xml:space="preserve">supported </w:t>
      </w:r>
      <w:r>
        <w:rPr>
          <w:rFonts w:hint="eastAsia"/>
          <w:i/>
          <w:iCs/>
          <w:highlight w:val="none"/>
          <w:lang w:eastAsia="zh-CN"/>
        </w:rPr>
        <w:t>for the propagation delay compensation enhancements</w:t>
      </w:r>
      <w:r>
        <w:rPr>
          <w:rFonts w:hint="default"/>
          <w:i/>
          <w:iCs/>
          <w:highlight w:val="none"/>
          <w:lang w:val="en-US" w:eastAsia="zh-CN"/>
        </w:rPr>
        <w:t xml:space="preserve"> with</w:t>
      </w:r>
      <w:r>
        <w:rPr>
          <w:rFonts w:hint="eastAsia"/>
          <w:i/>
          <w:iCs/>
          <w:highlight w:val="none"/>
          <w:lang w:eastAsia="zh-CN"/>
        </w:rPr>
        <w:t xml:space="preserve"> reduc</w:t>
      </w:r>
      <w:r>
        <w:rPr>
          <w:rFonts w:hint="default"/>
          <w:i/>
          <w:iCs/>
          <w:highlight w:val="none"/>
          <w:lang w:val="en-US" w:eastAsia="zh-CN"/>
        </w:rPr>
        <w:t>ing</w:t>
      </w:r>
      <w:r>
        <w:rPr>
          <w:rFonts w:hint="eastAsia"/>
          <w:i/>
          <w:iCs/>
          <w:highlight w:val="none"/>
          <w:lang w:eastAsia="zh-CN"/>
        </w:rPr>
        <w:t xml:space="preserve"> the initial transmission error</w:t>
      </w:r>
      <w:r>
        <w:rPr>
          <w:rFonts w:hint="default"/>
          <w:i/>
          <w:iCs/>
          <w:highlight w:val="none"/>
          <w:lang w:val="en-US" w:eastAsia="zh-CN"/>
        </w:rPr>
        <w:t xml:space="preserve"> (Te) and reusing the enhanced timing advance MAC CE</w:t>
      </w:r>
      <w:r>
        <w:rPr>
          <w:rFonts w:hint="eastAsia"/>
          <w:i/>
          <w:iCs/>
          <w:highlight w:val="none"/>
          <w:lang w:eastAsia="zh-CN"/>
        </w:rPr>
        <w:t>.</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w:t>
      </w:r>
      <w:r>
        <w:rPr>
          <w:lang w:eastAsia="zh-CN"/>
        </w:rPr>
        <w:t>6</w:t>
      </w:r>
      <w:r>
        <w:rPr>
          <w:rFonts w:hint="default"/>
          <w:lang w:val="en-US" w:eastAsia="zh-CN"/>
        </w:rPr>
        <w:t>bis-e</w:t>
      </w:r>
      <w:r>
        <w:rPr>
          <w:rFonts w:hint="eastAsia"/>
          <w:lang w:eastAsia="zh-CN"/>
        </w:rPr>
        <w:t>, Chairman notes</w:t>
      </w:r>
    </w:p>
    <w:p>
      <w:pPr>
        <w:pStyle w:val="126"/>
        <w:rPr>
          <w:lang w:eastAsia="zh-CN"/>
        </w:rPr>
      </w:pPr>
      <w:r>
        <w:rPr>
          <w:rFonts w:hint="eastAsia"/>
          <w:lang w:eastAsia="zh-CN"/>
        </w:rPr>
        <w:t>3GPP TS38.133-g80, Requirements for support of radio resource management</w:t>
      </w:r>
    </w:p>
    <w:p>
      <w:pPr>
        <w:pStyle w:val="126"/>
        <w:rPr>
          <w:lang w:eastAsia="zh-CN"/>
        </w:rPr>
      </w:pPr>
      <w:r>
        <w:rPr>
          <w:rFonts w:hint="eastAsia"/>
          <w:lang w:eastAsia="zh-CN"/>
        </w:rPr>
        <w:t>3GPP RAN1#104-e, R1-2100024, Reply LS on propagation delay compensation enhancements</w:t>
      </w:r>
    </w:p>
    <w:p>
      <w:pPr>
        <w:pStyle w:val="126"/>
        <w:rPr>
          <w:lang w:eastAsia="zh-CN"/>
        </w:rPr>
      </w:pPr>
      <w:r>
        <w:rPr>
          <w:rFonts w:hint="default"/>
          <w:lang w:val="en-US" w:eastAsia="zh-CN"/>
        </w:rPr>
        <w:t>3GPP RAN1#106bis-e, R1-2108844, Discussion on propagation delay compensation enhancements</w:t>
      </w:r>
    </w:p>
    <w:p>
      <w:pPr>
        <w:pStyle w:val="2"/>
        <w:rPr>
          <w:lang w:eastAsia="zh-CN"/>
        </w:rPr>
      </w:pPr>
      <w:r>
        <w:rPr>
          <w:lang w:val="en-US" w:eastAsia="zh-CN"/>
        </w:rPr>
        <w:t>Appendix</w:t>
      </w:r>
    </w:p>
    <w:p>
      <w:pPr>
        <w:pStyle w:val="3"/>
        <w:bidi w:val="0"/>
        <w:rPr>
          <w:lang w:eastAsia="zh-CN"/>
        </w:rPr>
      </w:pPr>
      <w:r>
        <w:rPr>
          <w:rFonts w:hint="default"/>
          <w:lang w:val="en-US" w:eastAsia="zh-CN"/>
        </w:rPr>
        <w:t>TS38.133-g8</w:t>
      </w:r>
    </w:p>
    <w:p>
      <w:r>
        <w:t>The UE Rx-Tx time difference measurement accuracy requirements in this clause shall not apply, if:</w:t>
      </w:r>
    </w:p>
    <w:p>
      <w:pPr>
        <w:ind w:left="714" w:hanging="357"/>
      </w:pPr>
      <w:r>
        <w:t>N</w:t>
      </w:r>
      <w:r>
        <w:rPr>
          <w:vertAlign w:val="subscript"/>
        </w:rPr>
        <w:t>TA_offset</w:t>
      </w:r>
      <w:r>
        <w:t xml:space="preserve"> defined in Table 7.1.2-2 changes during the UE Rx-Tx measurement period or</w:t>
      </w:r>
    </w:p>
    <w:p>
      <w:pPr>
        <w:pStyle w:val="87"/>
      </w:pPr>
      <w:r>
        <w:t>if the uplink transmission timing changes during the UE Rx-Tx measurement period due to the network-configured Timing Advance.</w:t>
      </w:r>
    </w:p>
    <w:p>
      <w:r>
        <w:t>FFS: whether UE Rx-Tx time difference measurement accuracy requirements in this clause shall also apply if the uplink transmission timing changes during the UE Rx-Tx measurement period due to the autonomous timing adjustment defined in clause 7.1.2.</w:t>
      </w:r>
    </w:p>
    <w:p>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r>
        <w:t>Note: The requriements for fading channel in this clause are derived based on TDL-A (30 ns delay spread, 5Hz) and TDL-C (60 ns delay spread, 300 Hz) channel models for FR1 and FR2 respectively.</w:t>
      </w:r>
    </w:p>
    <w:p>
      <w:pPr>
        <w:rPr>
          <w:i/>
          <w:iCs/>
        </w:rPr>
      </w:pPr>
      <w:r>
        <w:rPr>
          <w:i/>
          <w:iCs/>
        </w:rPr>
        <w:t xml:space="preserve">Editor’s note: In accuracy tables </w:t>
      </w:r>
      <w:r>
        <w:rPr>
          <w:i/>
          <w:iCs/>
        </w:rPr>
        <w:sym w:font="Symbol" w:char="F064"/>
      </w:r>
      <w:r>
        <w:rPr>
          <w:i/>
          <w:iCs/>
        </w:rPr>
        <w:t xml:space="preserve"> is margin and is FFS</w:t>
      </w:r>
    </w:p>
    <w:p>
      <w:pPr>
        <w:rPr>
          <w:rFonts w:cs="v4.2.0"/>
        </w:rPr>
      </w:pPr>
      <w:r>
        <w:rPr>
          <w:rFonts w:cs="v4.2.0"/>
        </w:rPr>
        <w:t>The accuracy requirements in Table 10.1.25.2-1 for FR1 are valid under the following conditions:</w:t>
      </w:r>
    </w:p>
    <w:p>
      <w:pPr>
        <w:pStyle w:val="87"/>
      </w:pPr>
      <w:r>
        <w:t>Conditions defined in clause 7.3 of TS 38.101-1 [18] for reference sensitivity are fulfilled.</w:t>
      </w:r>
    </w:p>
    <w:p>
      <w:pPr>
        <w:pStyle w:val="87"/>
      </w:pPr>
      <w:r>
        <w:t>PRP|</w:t>
      </w:r>
      <w:r>
        <w:rPr>
          <w:vertAlign w:val="subscript"/>
        </w:rPr>
        <w:t>dBm</w:t>
      </w:r>
      <w:r>
        <w:t xml:space="preserve"> according to Annex B.2.x for a corresponding Band.</w:t>
      </w:r>
    </w:p>
    <w:p>
      <w:pPr>
        <w:pStyle w:val="87"/>
      </w:pPr>
      <w:r>
        <w:t>AWGN propagation condition.</w:t>
      </w:r>
    </w:p>
    <w:p>
      <w:pPr>
        <w:pStyle w:val="67"/>
      </w:pPr>
      <w:r>
        <w:t>Table 10.1.25.2-1: UE Rx-Tx time difference measurement accuracy in FR1 in AWGN</w:t>
      </w:r>
    </w:p>
    <w:tbl>
      <w:tblPr>
        <w:tblStyle w:val="50"/>
        <w:tblW w:w="10206" w:type="dxa"/>
        <w:jc w:val="center"/>
        <w:tblInd w:w="0" w:type="dxa"/>
        <w:tblLayout w:type="fixed"/>
        <w:tblCellMar>
          <w:top w:w="0" w:type="dxa"/>
          <w:left w:w="108" w:type="dxa"/>
          <w:bottom w:w="0" w:type="dxa"/>
          <w:right w:w="108" w:type="dxa"/>
        </w:tblCellMar>
      </w:tblPr>
      <w:tblGrid>
        <w:gridCol w:w="1134"/>
        <w:gridCol w:w="714"/>
        <w:gridCol w:w="1134"/>
        <w:gridCol w:w="709"/>
        <w:gridCol w:w="1139"/>
        <w:gridCol w:w="992"/>
        <w:gridCol w:w="292"/>
        <w:gridCol w:w="979"/>
        <w:gridCol w:w="992"/>
        <w:gridCol w:w="997"/>
        <w:gridCol w:w="1124"/>
      </w:tblGrid>
      <w:tr>
        <w:tblPrEx>
          <w:tblLayout w:type="fixed"/>
          <w:tblCellMar>
            <w:top w:w="0" w:type="dxa"/>
            <w:left w:w="108" w:type="dxa"/>
            <w:bottom w:w="0" w:type="dxa"/>
            <w:right w:w="108" w:type="dxa"/>
          </w:tblCellMar>
        </w:tblPrEx>
        <w:trPr>
          <w:jc w:val="center"/>
        </w:trPr>
        <w:tc>
          <w:tcPr>
            <w:tcW w:w="1134" w:type="dxa"/>
            <w:vMerge w:val="restart"/>
            <w:tcBorders>
              <w:top w:val="single" w:color="auto" w:sz="4" w:space="0"/>
              <w:left w:val="single" w:color="auto" w:sz="4" w:space="0"/>
              <w:bottom w:val="single" w:color="auto" w:sz="6" w:space="0"/>
              <w:right w:val="single" w:color="auto" w:sz="6" w:space="0"/>
            </w:tcBorders>
            <w:shd w:val="clear" w:color="auto" w:fill="auto"/>
            <w:vAlign w:val="center"/>
          </w:tcPr>
          <w:p>
            <w:pPr>
              <w:pStyle w:val="63"/>
            </w:pPr>
            <w:r>
              <w:t>Accuracy</w:t>
            </w:r>
          </w:p>
        </w:tc>
        <w:tc>
          <w:tcPr>
            <w:tcW w:w="9072" w:type="dxa"/>
            <w:gridSpan w:val="10"/>
            <w:tcBorders>
              <w:top w:val="single" w:color="auto" w:sz="4" w:space="0"/>
              <w:left w:val="single" w:color="auto" w:sz="6" w:space="0"/>
              <w:bottom w:val="single" w:color="auto" w:sz="6" w:space="0"/>
              <w:right w:val="single" w:color="auto" w:sz="4" w:space="0"/>
            </w:tcBorders>
          </w:tcPr>
          <w:p>
            <w:pPr>
              <w:pStyle w:val="63"/>
            </w:pPr>
            <w:r>
              <w:t>Conditions</w:t>
            </w:r>
          </w:p>
        </w:tc>
      </w:tr>
      <w:tr>
        <w:tblPrEx>
          <w:tblLayout w:type="fixed"/>
          <w:tblCellMar>
            <w:top w:w="0" w:type="dxa"/>
            <w:left w:w="108" w:type="dxa"/>
            <w:bottom w:w="0" w:type="dxa"/>
            <w:right w:w="108" w:type="dxa"/>
          </w:tblCellMar>
        </w:tblPrEx>
        <w:trPr>
          <w:jc w:val="center"/>
        </w:trPr>
        <w:tc>
          <w:tcPr>
            <w:tcW w:w="1134"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pPr>
              <w:pStyle w:val="63"/>
            </w:pPr>
          </w:p>
        </w:tc>
        <w:tc>
          <w:tcPr>
            <w:tcW w:w="714"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63"/>
            </w:pPr>
            <w:r>
              <w:t>PRS Ês/Iot</w:t>
            </w:r>
          </w:p>
        </w:tc>
        <w:tc>
          <w:tcPr>
            <w:tcW w:w="1134" w:type="dxa"/>
            <w:vMerge w:val="restart"/>
            <w:tcBorders>
              <w:top w:val="single" w:color="auto" w:sz="6" w:space="0"/>
              <w:left w:val="single" w:color="auto" w:sz="6" w:space="0"/>
              <w:right w:val="single" w:color="auto" w:sz="6" w:space="0"/>
            </w:tcBorders>
            <w:vAlign w:val="center"/>
          </w:tcPr>
          <w:p>
            <w:pPr>
              <w:pStyle w:val="63"/>
            </w:pPr>
            <w:r>
              <w:t>Minimum PRS bandwidth</w:t>
            </w:r>
          </w:p>
        </w:tc>
        <w:tc>
          <w:tcPr>
            <w:tcW w:w="709" w:type="dxa"/>
            <w:vMerge w:val="restart"/>
            <w:tcBorders>
              <w:top w:val="single" w:color="auto" w:sz="6" w:space="0"/>
              <w:left w:val="single" w:color="auto" w:sz="6" w:space="0"/>
              <w:right w:val="single" w:color="auto" w:sz="6" w:space="0"/>
            </w:tcBorders>
          </w:tcPr>
          <w:p>
            <w:pPr>
              <w:pStyle w:val="63"/>
            </w:pPr>
          </w:p>
          <w:p>
            <w:pPr>
              <w:pStyle w:val="63"/>
            </w:pPr>
            <w:r>
              <w:t>PRS SCS</w:t>
            </w:r>
          </w:p>
        </w:tc>
        <w:tc>
          <w:tcPr>
            <w:tcW w:w="1139" w:type="dxa"/>
            <w:vMerge w:val="restart"/>
            <w:tcBorders>
              <w:top w:val="single" w:color="auto" w:sz="6" w:space="0"/>
              <w:left w:val="single" w:color="auto" w:sz="6" w:space="0"/>
              <w:right w:val="single" w:color="auto" w:sz="6" w:space="0"/>
            </w:tcBorders>
            <w:shd w:val="clear" w:color="auto" w:fill="auto"/>
            <w:vAlign w:val="center"/>
          </w:tcPr>
          <w:p>
            <w:pPr>
              <w:pStyle w:val="63"/>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ctrlPr>
                    <w:rPr>
                      <w:rFonts w:ascii="Cambria Math" w:hAnsi="Cambria Math"/>
                      <w:i/>
                    </w:rPr>
                  </m:ctrlPr>
                </m:e>
                <m:sub>
                  <m:r>
                    <m:rPr>
                      <m:nor/>
                      <m:sty m:val="p"/>
                    </m:rPr>
                    <w:rPr>
                      <w:rFonts w:ascii="Cambria Math" w:hAnsi="Cambria Math"/>
                      <w:b w:val="0"/>
                      <w:i w:val="0"/>
                    </w:rPr>
                    <m:t>rep</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ctrlPr>
                    <w:rPr>
                      <w:rFonts w:ascii="Cambria Math" w:hAnsi="Cambria Math"/>
                    </w:rPr>
                  </m:ctrlPr>
                </m:e>
                <m:sub>
                  <m:r>
                    <m:rPr>
                      <m:nor/>
                      <m:sty m:val="p"/>
                    </m:rPr>
                    <w:rPr>
                      <w:b w:val="0"/>
                      <w:i w:val="0"/>
                    </w:rPr>
                    <m:t>PRS</m:t>
                  </m:r>
                  <m:ctrlPr>
                    <w:rPr>
                      <w:rFonts w:ascii="Cambria Math" w:hAnsi="Cambria Math"/>
                    </w:rPr>
                  </m:ctrlP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ctrlPr>
                    <w:rPr>
                      <w:rFonts w:ascii="Cambria Math" w:hAnsi="Cambria Math"/>
                      <w:i/>
                    </w:rPr>
                  </m:ctrlPr>
                </m:e>
                <m:sub>
                  <m:r>
                    <m:rPr>
                      <m:nor/>
                      <m:sty m:val="p"/>
                    </m:rPr>
                    <w:rPr>
                      <w:rFonts w:ascii="Cambria Math" w:hAnsi="Cambria Math"/>
                      <w:b w:val="0"/>
                      <w:i w:val="0"/>
                    </w:rPr>
                    <m:t>comb</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oMath>
            <w:r>
              <w:rPr>
                <w:vertAlign w:val="superscript"/>
              </w:rPr>
              <w:t>Note 3</w:t>
            </w:r>
          </w:p>
        </w:tc>
        <w:tc>
          <w:tcPr>
            <w:tcW w:w="992" w:type="dxa"/>
            <w:tcBorders>
              <w:top w:val="single" w:color="auto" w:sz="6" w:space="0"/>
              <w:left w:val="single" w:color="auto" w:sz="6" w:space="0"/>
              <w:right w:val="single" w:color="auto" w:sz="6" w:space="0"/>
            </w:tcBorders>
          </w:tcPr>
          <w:p>
            <w:pPr>
              <w:pStyle w:val="63"/>
            </w:pPr>
          </w:p>
        </w:tc>
        <w:tc>
          <w:tcPr>
            <w:tcW w:w="4384"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63"/>
            </w:pPr>
            <w:r>
              <w:t>Io</w:t>
            </w:r>
            <w:r>
              <w:rPr>
                <w:vertAlign w:val="superscript"/>
                <w:lang w:eastAsia="zh-CN"/>
              </w:rPr>
              <w:t>Note 4</w:t>
            </w:r>
            <w:r>
              <w:t xml:space="preserve"> range</w:t>
            </w:r>
          </w:p>
        </w:tc>
      </w:tr>
      <w:tr>
        <w:tblPrEx>
          <w:tblLayout w:type="fixed"/>
          <w:tblCellMar>
            <w:top w:w="0" w:type="dxa"/>
            <w:left w:w="108" w:type="dxa"/>
            <w:bottom w:w="0" w:type="dxa"/>
            <w:right w:w="108" w:type="dxa"/>
          </w:tblCellMar>
        </w:tblPrEx>
        <w:trPr>
          <w:jc w:val="center"/>
        </w:trPr>
        <w:tc>
          <w:tcPr>
            <w:tcW w:w="1134"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pPr>
              <w:pStyle w:val="63"/>
            </w:pPr>
          </w:p>
        </w:tc>
        <w:tc>
          <w:tcPr>
            <w:tcW w:w="714"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pStyle w:val="63"/>
            </w:pPr>
          </w:p>
        </w:tc>
        <w:tc>
          <w:tcPr>
            <w:tcW w:w="1134" w:type="dxa"/>
            <w:vMerge w:val="continue"/>
            <w:tcBorders>
              <w:left w:val="single" w:color="auto" w:sz="6" w:space="0"/>
              <w:bottom w:val="single" w:color="auto" w:sz="6" w:space="0"/>
              <w:right w:val="single" w:color="auto" w:sz="6" w:space="0"/>
            </w:tcBorders>
            <w:vAlign w:val="center"/>
          </w:tcPr>
          <w:p>
            <w:pPr>
              <w:pStyle w:val="63"/>
            </w:pPr>
          </w:p>
        </w:tc>
        <w:tc>
          <w:tcPr>
            <w:tcW w:w="709" w:type="dxa"/>
            <w:vMerge w:val="continue"/>
            <w:tcBorders>
              <w:left w:val="single" w:color="auto" w:sz="6" w:space="0"/>
              <w:bottom w:val="single" w:color="auto" w:sz="6" w:space="0"/>
              <w:right w:val="single" w:color="auto" w:sz="6" w:space="0"/>
            </w:tcBorders>
          </w:tcPr>
          <w:p>
            <w:pPr>
              <w:pStyle w:val="63"/>
            </w:pPr>
          </w:p>
        </w:tc>
        <w:tc>
          <w:tcPr>
            <w:tcW w:w="1139" w:type="dxa"/>
            <w:vMerge w:val="continue"/>
            <w:tcBorders>
              <w:left w:val="single" w:color="auto" w:sz="6" w:space="0"/>
              <w:bottom w:val="single" w:color="auto" w:sz="6" w:space="0"/>
              <w:right w:val="single" w:color="auto" w:sz="6" w:space="0"/>
            </w:tcBorders>
            <w:shd w:val="clear" w:color="auto" w:fill="auto"/>
            <w:vAlign w:val="center"/>
          </w:tcPr>
          <w:p>
            <w:pPr>
              <w:pStyle w:val="63"/>
            </w:pPr>
          </w:p>
        </w:tc>
        <w:tc>
          <w:tcPr>
            <w:tcW w:w="12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pStyle w:val="63"/>
            </w:pPr>
            <w:r>
              <w:t>NR operating band groups</w:t>
            </w:r>
            <w:r>
              <w:rPr>
                <w:vertAlign w:val="superscript"/>
              </w:rPr>
              <w:t>Note 2</w:t>
            </w:r>
          </w:p>
        </w:tc>
        <w:tc>
          <w:tcPr>
            <w:tcW w:w="2968" w:type="dxa"/>
            <w:gridSpan w:val="3"/>
            <w:tcBorders>
              <w:top w:val="single" w:color="auto" w:sz="6" w:space="0"/>
              <w:left w:val="single" w:color="auto" w:sz="6" w:space="0"/>
              <w:bottom w:val="single" w:color="auto" w:sz="6" w:space="0"/>
              <w:right w:val="single" w:color="auto" w:sz="6" w:space="0"/>
            </w:tcBorders>
          </w:tcPr>
          <w:p>
            <w:pPr>
              <w:pStyle w:val="63"/>
            </w:pPr>
            <w:r>
              <w:t>Minimum</w:t>
            </w:r>
            <w:r>
              <w:br w:type="textWrapping"/>
            </w:r>
            <w:r>
              <w:t>Io</w:t>
            </w:r>
            <w:r>
              <w:rPr>
                <w:vertAlign w:val="superscript"/>
              </w:rPr>
              <w:t>Note 1</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pStyle w:val="63"/>
            </w:pPr>
            <w:r>
              <w:t>Maximum</w:t>
            </w:r>
            <w:r>
              <w:br w:type="textWrapping"/>
            </w:r>
            <w:r>
              <w:t>Io</w:t>
            </w:r>
          </w:p>
        </w:tc>
      </w:tr>
      <w:tr>
        <w:tblPrEx>
          <w:tblLayout w:type="fixed"/>
          <w:tblCellMar>
            <w:top w:w="0" w:type="dxa"/>
            <w:left w:w="108" w:type="dxa"/>
            <w:bottom w:w="0" w:type="dxa"/>
            <w:right w:w="108" w:type="dxa"/>
          </w:tblCellMar>
        </w:tblPrEx>
        <w:trPr>
          <w:trHeight w:val="185" w:hRule="atLeast"/>
          <w:jc w:val="center"/>
        </w:trPr>
        <w:tc>
          <w:tcPr>
            <w:tcW w:w="1134" w:type="dxa"/>
            <w:vMerge w:val="restart"/>
            <w:tcBorders>
              <w:top w:val="single" w:color="auto" w:sz="6" w:space="0"/>
              <w:left w:val="single" w:color="auto" w:sz="4" w:space="0"/>
              <w:right w:val="single" w:color="auto" w:sz="6" w:space="0"/>
            </w:tcBorders>
            <w:shd w:val="clear" w:color="auto" w:fill="auto"/>
            <w:vAlign w:val="center"/>
          </w:tcPr>
          <w:p>
            <w:pPr>
              <w:pStyle w:val="63"/>
            </w:pPr>
            <w:r>
              <w:t>Tc</w:t>
            </w:r>
            <w:r>
              <w:rPr>
                <w:vertAlign w:val="superscript"/>
                <w:lang w:eastAsia="zh-CN"/>
              </w:rPr>
              <w:t>Note 5</w:t>
            </w:r>
          </w:p>
        </w:tc>
        <w:tc>
          <w:tcPr>
            <w:tcW w:w="714" w:type="dxa"/>
            <w:vMerge w:val="restart"/>
            <w:tcBorders>
              <w:top w:val="single" w:color="auto" w:sz="6" w:space="0"/>
              <w:left w:val="single" w:color="auto" w:sz="6" w:space="0"/>
              <w:right w:val="single" w:color="auto" w:sz="6" w:space="0"/>
            </w:tcBorders>
            <w:shd w:val="clear" w:color="auto" w:fill="auto"/>
            <w:vAlign w:val="center"/>
          </w:tcPr>
          <w:p>
            <w:pPr>
              <w:pStyle w:val="63"/>
            </w:pPr>
            <w:r>
              <w:t>dB</w:t>
            </w:r>
          </w:p>
        </w:tc>
        <w:tc>
          <w:tcPr>
            <w:tcW w:w="1134" w:type="dxa"/>
            <w:vMerge w:val="restart"/>
            <w:tcBorders>
              <w:top w:val="single" w:color="auto" w:sz="6" w:space="0"/>
              <w:left w:val="single" w:color="auto" w:sz="6" w:space="0"/>
              <w:right w:val="single" w:color="auto" w:sz="6" w:space="0"/>
            </w:tcBorders>
            <w:vAlign w:val="center"/>
          </w:tcPr>
          <w:p>
            <w:pPr>
              <w:pStyle w:val="63"/>
            </w:pPr>
            <w:r>
              <w:t>RB</w:t>
            </w:r>
          </w:p>
        </w:tc>
        <w:tc>
          <w:tcPr>
            <w:tcW w:w="709" w:type="dxa"/>
            <w:vMerge w:val="restart"/>
            <w:tcBorders>
              <w:top w:val="single" w:color="auto" w:sz="6" w:space="0"/>
              <w:left w:val="single" w:color="auto" w:sz="6" w:space="0"/>
              <w:right w:val="single" w:color="auto" w:sz="6" w:space="0"/>
            </w:tcBorders>
          </w:tcPr>
          <w:p>
            <w:pPr>
              <w:pStyle w:val="63"/>
            </w:pPr>
          </w:p>
          <w:p>
            <w:pPr>
              <w:pStyle w:val="63"/>
            </w:pPr>
            <w:r>
              <w:t>kHz</w:t>
            </w:r>
          </w:p>
        </w:tc>
        <w:tc>
          <w:tcPr>
            <w:tcW w:w="1139" w:type="dxa"/>
            <w:vMerge w:val="restart"/>
            <w:tcBorders>
              <w:top w:val="single" w:color="auto" w:sz="6" w:space="0"/>
              <w:left w:val="single" w:color="auto" w:sz="6" w:space="0"/>
              <w:right w:val="single" w:color="auto" w:sz="6" w:space="0"/>
            </w:tcBorders>
            <w:shd w:val="clear" w:color="auto" w:fill="auto"/>
            <w:vAlign w:val="center"/>
          </w:tcPr>
          <w:p>
            <w:pPr>
              <w:pStyle w:val="63"/>
            </w:pPr>
          </w:p>
        </w:tc>
        <w:tc>
          <w:tcPr>
            <w:tcW w:w="1284" w:type="dxa"/>
            <w:gridSpan w:val="2"/>
            <w:vMerge w:val="restart"/>
            <w:tcBorders>
              <w:top w:val="single" w:color="auto" w:sz="6" w:space="0"/>
              <w:left w:val="single" w:color="auto" w:sz="6" w:space="0"/>
              <w:right w:val="single" w:color="auto" w:sz="6" w:space="0"/>
            </w:tcBorders>
            <w:shd w:val="clear" w:color="auto" w:fill="auto"/>
            <w:vAlign w:val="center"/>
          </w:tcPr>
          <w:p>
            <w:pPr>
              <w:pStyle w:val="63"/>
            </w:pPr>
          </w:p>
        </w:tc>
        <w:tc>
          <w:tcPr>
            <w:tcW w:w="2968" w:type="dxa"/>
            <w:gridSpan w:val="3"/>
            <w:tcBorders>
              <w:top w:val="single" w:color="auto" w:sz="6" w:space="0"/>
              <w:left w:val="single" w:color="auto" w:sz="6" w:space="0"/>
              <w:right w:val="single" w:color="auto" w:sz="6" w:space="0"/>
            </w:tcBorders>
          </w:tcPr>
          <w:p>
            <w:pPr>
              <w:pStyle w:val="63"/>
            </w:pPr>
            <w:r>
              <w:t>dBm / SCS</w:t>
            </w:r>
            <w:r>
              <w:rPr>
                <w:vertAlign w:val="subscript"/>
              </w:rPr>
              <w:t>PRS</w:t>
            </w:r>
          </w:p>
        </w:tc>
        <w:tc>
          <w:tcPr>
            <w:tcW w:w="1124" w:type="dxa"/>
            <w:vMerge w:val="restart"/>
            <w:tcBorders>
              <w:top w:val="single" w:color="auto" w:sz="6" w:space="0"/>
              <w:left w:val="single" w:color="auto" w:sz="6" w:space="0"/>
              <w:right w:val="single" w:color="auto" w:sz="4" w:space="0"/>
            </w:tcBorders>
            <w:shd w:val="clear" w:color="auto" w:fill="auto"/>
            <w:vAlign w:val="center"/>
          </w:tcPr>
          <w:p>
            <w:pPr>
              <w:pStyle w:val="63"/>
            </w:pPr>
            <w:r>
              <w:t>dBm/BW</w:t>
            </w:r>
          </w:p>
        </w:tc>
      </w:tr>
      <w:tr>
        <w:tblPrEx>
          <w:tblLayout w:type="fixed"/>
          <w:tblCellMar>
            <w:top w:w="0" w:type="dxa"/>
            <w:left w:w="108" w:type="dxa"/>
            <w:bottom w:w="0" w:type="dxa"/>
            <w:right w:w="108" w:type="dxa"/>
          </w:tblCellMar>
        </w:tblPrEx>
        <w:trPr>
          <w:trHeight w:val="185" w:hRule="atLeast"/>
          <w:jc w:val="center"/>
        </w:trPr>
        <w:tc>
          <w:tcPr>
            <w:tcW w:w="1134" w:type="dxa"/>
            <w:vMerge w:val="continue"/>
            <w:tcBorders>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714"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1134" w:type="dxa"/>
            <w:vMerge w:val="continue"/>
            <w:tcBorders>
              <w:left w:val="single" w:color="auto" w:sz="6" w:space="0"/>
              <w:bottom w:val="single" w:color="auto" w:sz="6" w:space="0"/>
              <w:right w:val="single" w:color="auto" w:sz="6" w:space="0"/>
            </w:tcBorders>
            <w:vAlign w:val="center"/>
          </w:tcPr>
          <w:p>
            <w:pPr>
              <w:keepNext/>
              <w:keepLines/>
              <w:spacing w:after="0"/>
              <w:jc w:val="center"/>
              <w:rPr>
                <w:rFonts w:ascii="Arial" w:hAnsi="Arial" w:cs="Arial"/>
                <w:b/>
                <w:sz w:val="18"/>
                <w:szCs w:val="18"/>
              </w:rPr>
            </w:pPr>
          </w:p>
        </w:tc>
        <w:tc>
          <w:tcPr>
            <w:tcW w:w="709" w:type="dxa"/>
            <w:vMerge w:val="continue"/>
            <w:tcBorders>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p>
        </w:tc>
        <w:tc>
          <w:tcPr>
            <w:tcW w:w="1139"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1284" w:type="dxa"/>
            <w:gridSpan w:val="2"/>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992" w:type="dxa"/>
            <w:tcBorders>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997" w:type="dxa"/>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1124" w:type="dxa"/>
            <w:vMerge w:val="continue"/>
            <w:tcBorders>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b/>
                <w:sz w:val="18"/>
                <w:szCs w:val="18"/>
              </w:rPr>
            </w:pP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vMerge w:val="restart"/>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p>
          <w:p>
            <w:pPr>
              <w:keepNext/>
              <w:keepLines/>
              <w:spacing w:after="0"/>
              <w:jc w:val="center"/>
              <w:rPr>
                <w:rFonts w:ascii="Arial" w:hAnsi="Arial" w:cs="Arial"/>
                <w:sz w:val="18"/>
                <w:szCs w:val="18"/>
              </w:rPr>
            </w:pPr>
            <w:r>
              <w:rPr>
                <w:rFonts w:ascii="Arial" w:hAnsi="Arial" w:cs="Arial"/>
                <w:sz w:val="18"/>
                <w:szCs w:val="18"/>
              </w:rPr>
              <w:t>15</w:t>
            </w:r>
          </w:p>
        </w:tc>
        <w:tc>
          <w:tcPr>
            <w:tcW w:w="1139" w:type="dxa"/>
            <w:tcBorders>
              <w:top w:val="single" w:color="auto" w:sz="6" w:space="0"/>
              <w:left w:val="single" w:color="auto" w:sz="6" w:space="0"/>
              <w:bottom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cs="Arial"/>
                <w:szCs w:val="18"/>
              </w:rPr>
            </w:pPr>
            <w:r>
              <w:rPr>
                <w:rFonts w:ascii="Arial" w:hAnsi="Arial" w:cs="Arial"/>
                <w:sz w:val="18"/>
                <w:szCs w:val="18"/>
              </w:rPr>
              <w:t xml:space="preserve">      ≥[1]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bookmarkStart w:id="5" w:name="_Hlk72775815"/>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714" w:type="dxa"/>
            <w:vMerge w:val="restart"/>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bookmarkEnd w:id="5"/>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[29+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[7+</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trHeight w:val="208" w:hRule="atLeast"/>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[101+</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p>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vMerge w:val="restart"/>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p>
          <w:p>
            <w:pPr>
              <w:keepNext/>
              <w:keepLines/>
              <w:spacing w:after="0"/>
              <w:jc w:val="center"/>
              <w:rPr>
                <w:rFonts w:ascii="Arial" w:hAnsi="Arial" w:cs="Arial"/>
                <w:sz w:val="18"/>
                <w:szCs w:val="18"/>
              </w:rPr>
            </w:pPr>
            <w:r>
              <w:rPr>
                <w:rFonts w:ascii="Arial" w:hAnsi="Arial" w:cs="Arial"/>
                <w:sz w:val="18"/>
                <w:szCs w:val="18"/>
              </w:rPr>
              <w:t>15</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[75+</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bookmarkStart w:id="6" w:name="_Hlk72775271"/>
            <w:r>
              <w:rPr>
                <w:rFonts w:ascii="Arial" w:hAnsi="Arial" w:cs="Arial"/>
                <w:sz w:val="18"/>
                <w:szCs w:val="18"/>
              </w:rPr>
              <w:t>TBD</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bookmarkEnd w:id="6"/>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[37+</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theme="minorHAnsi"/>
                <w:sz w:val="18"/>
              </w:rPr>
            </w:pPr>
            <w:r>
              <w:rPr>
                <w:rFonts w:ascii="Arial" w:hAnsi="Arial" w:cstheme="minorHAnsi"/>
                <w:sz w:val="18"/>
              </w:rPr>
              <w:t>≥[48]</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714" w:type="dxa"/>
            <w:vMerge w:val="restart"/>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[8+</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0206" w:type="dxa"/>
            <w:gridSpan w:val="11"/>
            <w:tcBorders>
              <w:top w:val="single" w:color="auto" w:sz="6" w:space="0"/>
              <w:left w:val="single" w:color="auto" w:sz="4" w:space="0"/>
              <w:bottom w:val="single" w:color="auto" w:sz="4" w:space="0"/>
              <w:right w:val="single" w:color="auto" w:sz="4" w:space="0"/>
            </w:tcBorders>
          </w:tcPr>
          <w:p>
            <w:pPr>
              <w:pStyle w:val="78"/>
            </w:pPr>
            <w:r>
              <w:t>N</w:t>
            </w:r>
            <w:r>
              <w:rPr>
                <w:lang w:eastAsia="zh-CN"/>
              </w:rPr>
              <w:t>OTE</w:t>
            </w:r>
            <w:r>
              <w:t xml:space="preserve"> 1:</w:t>
            </w:r>
            <w:r>
              <w:tab/>
            </w:r>
            <w:r>
              <w:t>This minimum Io condition is expressed as the average Io per RE over all REs in an OFDM symbol.</w:t>
            </w:r>
          </w:p>
          <w:p>
            <w:pPr>
              <w:pStyle w:val="78"/>
            </w:pPr>
            <w:r>
              <w:t>NOTE 2:</w:t>
            </w:r>
            <w:r>
              <w:tab/>
            </w:r>
            <w:r>
              <w:t>NR operating band groups are as defined in Section 3.5.</w:t>
            </w:r>
          </w:p>
          <w:p>
            <w:pPr>
              <w:pStyle w:val="78"/>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ctrlPr>
                    <w:rPr>
                      <w:rFonts w:ascii="Cambria Math" w:hAnsi="Cambria Math"/>
                      <w:i/>
                    </w:rPr>
                  </m:ctrlPr>
                </m:e>
                <m:sub>
                  <m:r>
                    <m:rPr>
                      <m:nor/>
                      <m:sty m:val="p"/>
                    </m:rPr>
                    <w:rPr>
                      <w:rFonts w:ascii="Cambria Math" w:hAnsi="Cambria Math"/>
                      <w:b w:val="0"/>
                      <w:i w:val="0"/>
                    </w:rPr>
                    <m:t>rep</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r>
                <w:rPr>
                  <w:rFonts w:ascii="Cambria Math" w:hAnsi="Cambria Math"/>
                </w:rPr>
                <m:t xml:space="preserve">, </m:t>
              </m:r>
              <m:sSub>
                <m:sSubPr>
                  <m:ctrlPr>
                    <w:rPr>
                      <w:rFonts w:ascii="Cambria Math" w:hAnsi="Cambria Math"/>
                    </w:rPr>
                  </m:ctrlPr>
                </m:sSubPr>
                <m:e>
                  <m:r>
                    <w:rPr>
                      <w:rFonts w:ascii="Cambria Math" w:hAnsi="Cambria Math"/>
                    </w:rPr>
                    <m:t>L</m:t>
                  </m:r>
                  <m:ctrlPr>
                    <w:rPr>
                      <w:rFonts w:ascii="Cambria Math" w:hAnsi="Cambria Math"/>
                    </w:rPr>
                  </m:ctrlPr>
                </m:e>
                <m:sub>
                  <m:r>
                    <m:rPr>
                      <m:nor/>
                      <m:sty m:val="p"/>
                    </m:rPr>
                    <w:rPr>
                      <w:b w:val="0"/>
                      <w:i w:val="0"/>
                    </w:rPr>
                    <m:t>PRS</m:t>
                  </m:r>
                  <m:ctrlPr>
                    <w:rPr>
                      <w:rFonts w:ascii="Cambria Math" w:hAnsi="Cambria Math"/>
                    </w:rPr>
                  </m:ctrlPr>
                </m:sub>
              </m:sSub>
              <m:r>
                <w:rPr>
                  <w:rFonts w:ascii="Cambria Math" w:hAnsi="Cambria Math"/>
                </w:rPr>
                <m:t xml:space="preserve"> ,</m:t>
              </m:r>
              <m:sSubSup>
                <m:sSubSupPr>
                  <m:ctrlPr>
                    <w:rPr>
                      <w:rFonts w:ascii="Cambria Math" w:hAnsi="Cambria Math"/>
                      <w:i/>
                    </w:rPr>
                  </m:ctrlPr>
                </m:sSubSupPr>
                <m:e>
                  <m:r>
                    <w:rPr>
                      <w:rFonts w:ascii="Cambria Math" w:hAnsi="Cambria Math"/>
                    </w:rPr>
                    <m:t>K</m:t>
                  </m:r>
                  <m:ctrlPr>
                    <w:rPr>
                      <w:rFonts w:ascii="Cambria Math" w:hAnsi="Cambria Math"/>
                      <w:i/>
                    </w:rPr>
                  </m:ctrlPr>
                </m:e>
                <m:sub>
                  <m:r>
                    <m:rPr>
                      <m:nor/>
                      <m:sty m:val="p"/>
                    </m:rPr>
                    <w:rPr>
                      <w:rFonts w:ascii="Cambria Math" w:hAnsi="Cambria Math"/>
                      <w:b w:val="0"/>
                      <w:i w:val="0"/>
                    </w:rPr>
                    <m:t>comb</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eastAsia="zh-CN"/>
              </w:rPr>
              <w:t>.</w:t>
            </w:r>
          </w:p>
          <w:p>
            <w:pPr>
              <w:pStyle w:val="78"/>
            </w:pPr>
            <w:r>
              <w:t>NOTE 4:</w:t>
            </w:r>
            <w:r>
              <w:tab/>
            </w:r>
            <w:r>
              <w:t>The Io is defined in PRS slots. The same Io range applies to PRS and non-PRS symbols. Io levels are different in PRS and non-PRS symbols within the same slot.</w:t>
            </w:r>
          </w:p>
          <w:p>
            <w:pPr>
              <w:pStyle w:val="78"/>
            </w:pPr>
            <w:r>
              <w:t>N</w:t>
            </w:r>
            <w:r>
              <w:rPr>
                <w:lang w:eastAsia="zh-CN"/>
              </w:rPr>
              <w:t>OTE</w:t>
            </w:r>
            <w:r>
              <w:t xml:space="preserve"> 5:</w:t>
            </w:r>
            <w:r>
              <w:tab/>
            </w:r>
            <w:r>
              <w:t>Tc is the basic timing unit defined in TS 38.211 [6].</w:t>
            </w:r>
          </w:p>
        </w:tc>
      </w:tr>
    </w:tbl>
    <w:p>
      <w:pPr>
        <w:spacing w:before="480"/>
        <w:rPr>
          <w:rFonts w:cs="v4.2.0"/>
        </w:rPr>
      </w:pPr>
      <w:r>
        <w:rPr>
          <w:rFonts w:cs="v4.2.0"/>
        </w:rPr>
        <w:t>The accuracy requirements in Table 10.1.25.2-2 for FR1 are valid under the following conditions:</w:t>
      </w:r>
    </w:p>
    <w:p>
      <w:pPr>
        <w:pStyle w:val="87"/>
      </w:pPr>
      <w:r>
        <w:t>Conditions defined in clause 7.3 of TS 38.101-1 [18] for reference sensitivity are fulfilled.</w:t>
      </w:r>
    </w:p>
    <w:p>
      <w:pPr>
        <w:pStyle w:val="87"/>
      </w:pPr>
      <w:r>
        <w:t>PRP|</w:t>
      </w:r>
      <w:r>
        <w:rPr>
          <w:vertAlign w:val="subscript"/>
        </w:rPr>
        <w:t>dBm</w:t>
      </w:r>
      <w:r>
        <w:t xml:space="preserve"> according to Annex B.2.x for a corresponding Band.</w:t>
      </w:r>
    </w:p>
    <w:p>
      <w:pPr>
        <w:pStyle w:val="87"/>
      </w:pPr>
      <w:r>
        <w:t>Fading propagation condition.</w:t>
      </w:r>
    </w:p>
    <w:p>
      <w:pPr>
        <w:pStyle w:val="67"/>
      </w:pPr>
      <w:r>
        <w:t>Table 10.1.25.2-2: UE Rx-Tx time difference measurement accuracy in FR1 in fading</w:t>
      </w:r>
    </w:p>
    <w:tbl>
      <w:tblPr>
        <w:tblStyle w:val="50"/>
        <w:tblW w:w="10206" w:type="dxa"/>
        <w:jc w:val="center"/>
        <w:tblInd w:w="0" w:type="dxa"/>
        <w:tblLayout w:type="fixed"/>
        <w:tblCellMar>
          <w:top w:w="0" w:type="dxa"/>
          <w:left w:w="108" w:type="dxa"/>
          <w:bottom w:w="0" w:type="dxa"/>
          <w:right w:w="108" w:type="dxa"/>
        </w:tblCellMar>
      </w:tblPr>
      <w:tblGrid>
        <w:gridCol w:w="1134"/>
        <w:gridCol w:w="714"/>
        <w:gridCol w:w="1134"/>
        <w:gridCol w:w="709"/>
        <w:gridCol w:w="1139"/>
        <w:gridCol w:w="992"/>
        <w:gridCol w:w="292"/>
        <w:gridCol w:w="979"/>
        <w:gridCol w:w="992"/>
        <w:gridCol w:w="997"/>
        <w:gridCol w:w="1124"/>
      </w:tblGrid>
      <w:tr>
        <w:tblPrEx>
          <w:tblLayout w:type="fixed"/>
          <w:tblCellMar>
            <w:top w:w="0" w:type="dxa"/>
            <w:left w:w="108" w:type="dxa"/>
            <w:bottom w:w="0" w:type="dxa"/>
            <w:right w:w="108" w:type="dxa"/>
          </w:tblCellMar>
        </w:tblPrEx>
        <w:trPr>
          <w:jc w:val="center"/>
        </w:trPr>
        <w:tc>
          <w:tcPr>
            <w:tcW w:w="1134" w:type="dxa"/>
            <w:vMerge w:val="restart"/>
            <w:tcBorders>
              <w:top w:val="single" w:color="auto" w:sz="4" w:space="0"/>
              <w:left w:val="single" w:color="auto" w:sz="4" w:space="0"/>
              <w:bottom w:val="single" w:color="auto" w:sz="6" w:space="0"/>
              <w:right w:val="single" w:color="auto" w:sz="6" w:space="0"/>
            </w:tcBorders>
            <w:shd w:val="clear" w:color="auto" w:fill="auto"/>
            <w:vAlign w:val="center"/>
          </w:tcPr>
          <w:p>
            <w:pPr>
              <w:pStyle w:val="63"/>
            </w:pPr>
            <w:r>
              <w:t>Accuracy</w:t>
            </w:r>
          </w:p>
        </w:tc>
        <w:tc>
          <w:tcPr>
            <w:tcW w:w="9072" w:type="dxa"/>
            <w:gridSpan w:val="10"/>
            <w:tcBorders>
              <w:top w:val="single" w:color="auto" w:sz="4" w:space="0"/>
              <w:left w:val="single" w:color="auto" w:sz="6" w:space="0"/>
              <w:bottom w:val="single" w:color="auto" w:sz="6" w:space="0"/>
              <w:right w:val="single" w:color="auto" w:sz="4" w:space="0"/>
            </w:tcBorders>
          </w:tcPr>
          <w:p>
            <w:pPr>
              <w:pStyle w:val="63"/>
            </w:pPr>
            <w:r>
              <w:t>Conditions</w:t>
            </w:r>
          </w:p>
        </w:tc>
      </w:tr>
      <w:tr>
        <w:tblPrEx>
          <w:tblLayout w:type="fixed"/>
          <w:tblCellMar>
            <w:top w:w="0" w:type="dxa"/>
            <w:left w:w="108" w:type="dxa"/>
            <w:bottom w:w="0" w:type="dxa"/>
            <w:right w:w="108" w:type="dxa"/>
          </w:tblCellMar>
        </w:tblPrEx>
        <w:trPr>
          <w:jc w:val="center"/>
        </w:trPr>
        <w:tc>
          <w:tcPr>
            <w:tcW w:w="1134"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pPr>
              <w:pStyle w:val="63"/>
            </w:pPr>
          </w:p>
        </w:tc>
        <w:tc>
          <w:tcPr>
            <w:tcW w:w="714"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63"/>
            </w:pPr>
            <w:r>
              <w:t>PRS Ês/Iot</w:t>
            </w:r>
          </w:p>
        </w:tc>
        <w:tc>
          <w:tcPr>
            <w:tcW w:w="1134" w:type="dxa"/>
            <w:vMerge w:val="restart"/>
            <w:tcBorders>
              <w:top w:val="single" w:color="auto" w:sz="6" w:space="0"/>
              <w:left w:val="single" w:color="auto" w:sz="6" w:space="0"/>
              <w:right w:val="single" w:color="auto" w:sz="6" w:space="0"/>
            </w:tcBorders>
            <w:vAlign w:val="center"/>
          </w:tcPr>
          <w:p>
            <w:pPr>
              <w:pStyle w:val="63"/>
            </w:pPr>
            <w:r>
              <w:t>Minimum PRS bandwidth</w:t>
            </w:r>
          </w:p>
        </w:tc>
        <w:tc>
          <w:tcPr>
            <w:tcW w:w="709" w:type="dxa"/>
            <w:vMerge w:val="restart"/>
            <w:tcBorders>
              <w:top w:val="single" w:color="auto" w:sz="6" w:space="0"/>
              <w:left w:val="single" w:color="auto" w:sz="6" w:space="0"/>
              <w:right w:val="single" w:color="auto" w:sz="6" w:space="0"/>
            </w:tcBorders>
          </w:tcPr>
          <w:p>
            <w:pPr>
              <w:pStyle w:val="63"/>
            </w:pPr>
          </w:p>
          <w:p>
            <w:pPr>
              <w:pStyle w:val="63"/>
            </w:pPr>
            <w:r>
              <w:t>PRS SCS</w:t>
            </w:r>
          </w:p>
        </w:tc>
        <w:tc>
          <w:tcPr>
            <w:tcW w:w="1139" w:type="dxa"/>
            <w:vMerge w:val="restart"/>
            <w:tcBorders>
              <w:top w:val="single" w:color="auto" w:sz="6" w:space="0"/>
              <w:left w:val="single" w:color="auto" w:sz="6" w:space="0"/>
              <w:right w:val="single" w:color="auto" w:sz="6" w:space="0"/>
            </w:tcBorders>
            <w:shd w:val="clear" w:color="auto" w:fill="auto"/>
            <w:vAlign w:val="center"/>
          </w:tcPr>
          <w:p>
            <w:pPr>
              <w:pStyle w:val="63"/>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ctrlPr>
                    <w:rPr>
                      <w:rFonts w:ascii="Cambria Math" w:hAnsi="Cambria Math"/>
                      <w:i/>
                    </w:rPr>
                  </m:ctrlPr>
                </m:e>
                <m:sub>
                  <m:r>
                    <m:rPr>
                      <m:nor/>
                      <m:sty m:val="p"/>
                    </m:rPr>
                    <w:rPr>
                      <w:rFonts w:ascii="Cambria Math" w:hAnsi="Cambria Math"/>
                      <w:b w:val="0"/>
                      <w:i w:val="0"/>
                    </w:rPr>
                    <m:t>rep</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ctrlPr>
                    <w:rPr>
                      <w:rFonts w:ascii="Cambria Math" w:hAnsi="Cambria Math"/>
                    </w:rPr>
                  </m:ctrlPr>
                </m:e>
                <m:sub>
                  <m:r>
                    <m:rPr>
                      <m:nor/>
                      <m:sty m:val="p"/>
                    </m:rPr>
                    <w:rPr>
                      <w:b w:val="0"/>
                      <w:i w:val="0"/>
                    </w:rPr>
                    <m:t>PRS</m:t>
                  </m:r>
                  <m:ctrlPr>
                    <w:rPr>
                      <w:rFonts w:ascii="Cambria Math" w:hAnsi="Cambria Math"/>
                    </w:rPr>
                  </m:ctrlP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ctrlPr>
                    <w:rPr>
                      <w:rFonts w:ascii="Cambria Math" w:hAnsi="Cambria Math"/>
                      <w:i/>
                    </w:rPr>
                  </m:ctrlPr>
                </m:e>
                <m:sub>
                  <m:r>
                    <m:rPr>
                      <m:nor/>
                      <m:sty m:val="p"/>
                    </m:rPr>
                    <w:rPr>
                      <w:rFonts w:ascii="Cambria Math" w:hAnsi="Cambria Math"/>
                      <w:b w:val="0"/>
                      <w:i w:val="0"/>
                    </w:rPr>
                    <m:t>comb</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oMath>
            <w:r>
              <w:rPr>
                <w:vertAlign w:val="superscript"/>
              </w:rPr>
              <w:t>Note 3</w:t>
            </w:r>
          </w:p>
        </w:tc>
        <w:tc>
          <w:tcPr>
            <w:tcW w:w="992" w:type="dxa"/>
            <w:tcBorders>
              <w:top w:val="single" w:color="auto" w:sz="6" w:space="0"/>
              <w:left w:val="single" w:color="auto" w:sz="6" w:space="0"/>
              <w:right w:val="single" w:color="auto" w:sz="6" w:space="0"/>
            </w:tcBorders>
          </w:tcPr>
          <w:p>
            <w:pPr>
              <w:pStyle w:val="63"/>
            </w:pPr>
          </w:p>
        </w:tc>
        <w:tc>
          <w:tcPr>
            <w:tcW w:w="4384"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63"/>
            </w:pPr>
            <w:r>
              <w:t>Io</w:t>
            </w:r>
            <w:r>
              <w:rPr>
                <w:vertAlign w:val="superscript"/>
                <w:lang w:eastAsia="zh-CN"/>
              </w:rPr>
              <w:t>Note 4</w:t>
            </w:r>
            <w:r>
              <w:t xml:space="preserve"> range</w:t>
            </w:r>
          </w:p>
        </w:tc>
      </w:tr>
      <w:tr>
        <w:tblPrEx>
          <w:tblLayout w:type="fixed"/>
          <w:tblCellMar>
            <w:top w:w="0" w:type="dxa"/>
            <w:left w:w="108" w:type="dxa"/>
            <w:bottom w:w="0" w:type="dxa"/>
            <w:right w:w="108" w:type="dxa"/>
          </w:tblCellMar>
        </w:tblPrEx>
        <w:trPr>
          <w:jc w:val="center"/>
        </w:trPr>
        <w:tc>
          <w:tcPr>
            <w:tcW w:w="1134"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pPr>
              <w:pStyle w:val="63"/>
            </w:pPr>
          </w:p>
        </w:tc>
        <w:tc>
          <w:tcPr>
            <w:tcW w:w="714"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pStyle w:val="63"/>
            </w:pPr>
          </w:p>
        </w:tc>
        <w:tc>
          <w:tcPr>
            <w:tcW w:w="1134" w:type="dxa"/>
            <w:vMerge w:val="continue"/>
            <w:tcBorders>
              <w:left w:val="single" w:color="auto" w:sz="6" w:space="0"/>
              <w:bottom w:val="single" w:color="auto" w:sz="6" w:space="0"/>
              <w:right w:val="single" w:color="auto" w:sz="6" w:space="0"/>
            </w:tcBorders>
            <w:vAlign w:val="center"/>
          </w:tcPr>
          <w:p>
            <w:pPr>
              <w:pStyle w:val="63"/>
            </w:pPr>
          </w:p>
        </w:tc>
        <w:tc>
          <w:tcPr>
            <w:tcW w:w="709" w:type="dxa"/>
            <w:vMerge w:val="continue"/>
            <w:tcBorders>
              <w:left w:val="single" w:color="auto" w:sz="6" w:space="0"/>
              <w:bottom w:val="single" w:color="auto" w:sz="6" w:space="0"/>
              <w:right w:val="single" w:color="auto" w:sz="6" w:space="0"/>
            </w:tcBorders>
          </w:tcPr>
          <w:p>
            <w:pPr>
              <w:pStyle w:val="63"/>
            </w:pPr>
          </w:p>
        </w:tc>
        <w:tc>
          <w:tcPr>
            <w:tcW w:w="1139" w:type="dxa"/>
            <w:vMerge w:val="continue"/>
            <w:tcBorders>
              <w:left w:val="single" w:color="auto" w:sz="6" w:space="0"/>
              <w:bottom w:val="single" w:color="auto" w:sz="6" w:space="0"/>
              <w:right w:val="single" w:color="auto" w:sz="6" w:space="0"/>
            </w:tcBorders>
            <w:shd w:val="clear" w:color="auto" w:fill="auto"/>
            <w:vAlign w:val="center"/>
          </w:tcPr>
          <w:p>
            <w:pPr>
              <w:pStyle w:val="63"/>
            </w:pPr>
          </w:p>
        </w:tc>
        <w:tc>
          <w:tcPr>
            <w:tcW w:w="12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pStyle w:val="63"/>
            </w:pPr>
            <w:r>
              <w:t>NR operating band groups</w:t>
            </w:r>
            <w:r>
              <w:rPr>
                <w:vertAlign w:val="superscript"/>
              </w:rPr>
              <w:t>Note 2</w:t>
            </w:r>
          </w:p>
        </w:tc>
        <w:tc>
          <w:tcPr>
            <w:tcW w:w="2968" w:type="dxa"/>
            <w:gridSpan w:val="3"/>
            <w:tcBorders>
              <w:top w:val="single" w:color="auto" w:sz="6" w:space="0"/>
              <w:left w:val="single" w:color="auto" w:sz="6" w:space="0"/>
              <w:bottom w:val="single" w:color="auto" w:sz="6" w:space="0"/>
              <w:right w:val="single" w:color="auto" w:sz="6" w:space="0"/>
            </w:tcBorders>
          </w:tcPr>
          <w:p>
            <w:pPr>
              <w:pStyle w:val="63"/>
            </w:pPr>
            <w:r>
              <w:t>Minimum</w:t>
            </w:r>
            <w:r>
              <w:br w:type="textWrapping"/>
            </w:r>
            <w:r>
              <w:t>Io</w:t>
            </w:r>
            <w:r>
              <w:rPr>
                <w:vertAlign w:val="superscript"/>
              </w:rPr>
              <w:t>Note 1</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pStyle w:val="63"/>
            </w:pPr>
            <w:r>
              <w:t>Maximum</w:t>
            </w:r>
            <w:r>
              <w:br w:type="textWrapping"/>
            </w:r>
            <w:r>
              <w:t>Io</w:t>
            </w:r>
          </w:p>
        </w:tc>
      </w:tr>
      <w:tr>
        <w:tblPrEx>
          <w:tblLayout w:type="fixed"/>
          <w:tblCellMar>
            <w:top w:w="0" w:type="dxa"/>
            <w:left w:w="108" w:type="dxa"/>
            <w:bottom w:w="0" w:type="dxa"/>
            <w:right w:w="108" w:type="dxa"/>
          </w:tblCellMar>
        </w:tblPrEx>
        <w:trPr>
          <w:trHeight w:val="185" w:hRule="atLeast"/>
          <w:jc w:val="center"/>
        </w:trPr>
        <w:tc>
          <w:tcPr>
            <w:tcW w:w="1134" w:type="dxa"/>
            <w:vMerge w:val="restart"/>
            <w:tcBorders>
              <w:top w:val="single" w:color="auto" w:sz="6" w:space="0"/>
              <w:left w:val="single" w:color="auto" w:sz="4" w:space="0"/>
              <w:right w:val="single" w:color="auto" w:sz="6" w:space="0"/>
            </w:tcBorders>
            <w:shd w:val="clear" w:color="auto" w:fill="auto"/>
            <w:vAlign w:val="center"/>
          </w:tcPr>
          <w:p>
            <w:pPr>
              <w:pStyle w:val="63"/>
            </w:pPr>
            <w:r>
              <w:t>Tc</w:t>
            </w:r>
            <w:r>
              <w:rPr>
                <w:vertAlign w:val="superscript"/>
                <w:lang w:eastAsia="zh-CN"/>
              </w:rPr>
              <w:t>Note 5</w:t>
            </w:r>
          </w:p>
        </w:tc>
        <w:tc>
          <w:tcPr>
            <w:tcW w:w="714" w:type="dxa"/>
            <w:vMerge w:val="restart"/>
            <w:tcBorders>
              <w:top w:val="single" w:color="auto" w:sz="6" w:space="0"/>
              <w:left w:val="single" w:color="auto" w:sz="6" w:space="0"/>
              <w:right w:val="single" w:color="auto" w:sz="6" w:space="0"/>
            </w:tcBorders>
            <w:shd w:val="clear" w:color="auto" w:fill="auto"/>
            <w:vAlign w:val="center"/>
          </w:tcPr>
          <w:p>
            <w:pPr>
              <w:pStyle w:val="63"/>
            </w:pPr>
            <w:r>
              <w:t>dB</w:t>
            </w:r>
          </w:p>
        </w:tc>
        <w:tc>
          <w:tcPr>
            <w:tcW w:w="1134" w:type="dxa"/>
            <w:vMerge w:val="restart"/>
            <w:tcBorders>
              <w:top w:val="single" w:color="auto" w:sz="6" w:space="0"/>
              <w:left w:val="single" w:color="auto" w:sz="6" w:space="0"/>
              <w:right w:val="single" w:color="auto" w:sz="6" w:space="0"/>
            </w:tcBorders>
            <w:vAlign w:val="center"/>
          </w:tcPr>
          <w:p>
            <w:pPr>
              <w:pStyle w:val="63"/>
            </w:pPr>
            <w:r>
              <w:t>RB</w:t>
            </w:r>
          </w:p>
        </w:tc>
        <w:tc>
          <w:tcPr>
            <w:tcW w:w="709" w:type="dxa"/>
            <w:vMerge w:val="restart"/>
            <w:tcBorders>
              <w:top w:val="single" w:color="auto" w:sz="6" w:space="0"/>
              <w:left w:val="single" w:color="auto" w:sz="6" w:space="0"/>
              <w:right w:val="single" w:color="auto" w:sz="6" w:space="0"/>
            </w:tcBorders>
          </w:tcPr>
          <w:p>
            <w:pPr>
              <w:pStyle w:val="63"/>
            </w:pPr>
          </w:p>
          <w:p>
            <w:pPr>
              <w:pStyle w:val="63"/>
            </w:pPr>
            <w:r>
              <w:t>kHz</w:t>
            </w:r>
          </w:p>
        </w:tc>
        <w:tc>
          <w:tcPr>
            <w:tcW w:w="1139" w:type="dxa"/>
            <w:vMerge w:val="restart"/>
            <w:tcBorders>
              <w:top w:val="single" w:color="auto" w:sz="6" w:space="0"/>
              <w:left w:val="single" w:color="auto" w:sz="6" w:space="0"/>
              <w:right w:val="single" w:color="auto" w:sz="6" w:space="0"/>
            </w:tcBorders>
            <w:shd w:val="clear" w:color="auto" w:fill="auto"/>
            <w:vAlign w:val="center"/>
          </w:tcPr>
          <w:p>
            <w:pPr>
              <w:pStyle w:val="63"/>
            </w:pPr>
          </w:p>
        </w:tc>
        <w:tc>
          <w:tcPr>
            <w:tcW w:w="1284" w:type="dxa"/>
            <w:gridSpan w:val="2"/>
            <w:vMerge w:val="restart"/>
            <w:tcBorders>
              <w:top w:val="single" w:color="auto" w:sz="6" w:space="0"/>
              <w:left w:val="single" w:color="auto" w:sz="6" w:space="0"/>
              <w:right w:val="single" w:color="auto" w:sz="6" w:space="0"/>
            </w:tcBorders>
            <w:shd w:val="clear" w:color="auto" w:fill="auto"/>
            <w:vAlign w:val="center"/>
          </w:tcPr>
          <w:p>
            <w:pPr>
              <w:pStyle w:val="63"/>
            </w:pPr>
          </w:p>
        </w:tc>
        <w:tc>
          <w:tcPr>
            <w:tcW w:w="2968" w:type="dxa"/>
            <w:gridSpan w:val="3"/>
            <w:tcBorders>
              <w:top w:val="single" w:color="auto" w:sz="6" w:space="0"/>
              <w:left w:val="single" w:color="auto" w:sz="6" w:space="0"/>
              <w:right w:val="single" w:color="auto" w:sz="6" w:space="0"/>
            </w:tcBorders>
          </w:tcPr>
          <w:p>
            <w:pPr>
              <w:pStyle w:val="63"/>
            </w:pPr>
            <w:r>
              <w:t>dBm / SCS</w:t>
            </w:r>
            <w:r>
              <w:rPr>
                <w:vertAlign w:val="subscript"/>
              </w:rPr>
              <w:t>PRS</w:t>
            </w:r>
          </w:p>
        </w:tc>
        <w:tc>
          <w:tcPr>
            <w:tcW w:w="1124" w:type="dxa"/>
            <w:vMerge w:val="restart"/>
            <w:tcBorders>
              <w:top w:val="single" w:color="auto" w:sz="6" w:space="0"/>
              <w:left w:val="single" w:color="auto" w:sz="6" w:space="0"/>
              <w:right w:val="single" w:color="auto" w:sz="4" w:space="0"/>
            </w:tcBorders>
            <w:shd w:val="clear" w:color="auto" w:fill="auto"/>
            <w:vAlign w:val="center"/>
          </w:tcPr>
          <w:p>
            <w:pPr>
              <w:pStyle w:val="63"/>
            </w:pPr>
            <w:r>
              <w:t>dBm/BW</w:t>
            </w:r>
          </w:p>
        </w:tc>
      </w:tr>
      <w:tr>
        <w:tblPrEx>
          <w:tblLayout w:type="fixed"/>
          <w:tblCellMar>
            <w:top w:w="0" w:type="dxa"/>
            <w:left w:w="108" w:type="dxa"/>
            <w:bottom w:w="0" w:type="dxa"/>
            <w:right w:w="108" w:type="dxa"/>
          </w:tblCellMar>
        </w:tblPrEx>
        <w:trPr>
          <w:trHeight w:val="185" w:hRule="atLeast"/>
          <w:jc w:val="center"/>
        </w:trPr>
        <w:tc>
          <w:tcPr>
            <w:tcW w:w="1134" w:type="dxa"/>
            <w:vMerge w:val="continue"/>
            <w:tcBorders>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714"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1134" w:type="dxa"/>
            <w:vMerge w:val="continue"/>
            <w:tcBorders>
              <w:left w:val="single" w:color="auto" w:sz="6" w:space="0"/>
              <w:bottom w:val="single" w:color="auto" w:sz="6" w:space="0"/>
              <w:right w:val="single" w:color="auto" w:sz="6" w:space="0"/>
            </w:tcBorders>
            <w:vAlign w:val="center"/>
          </w:tcPr>
          <w:p>
            <w:pPr>
              <w:keepNext/>
              <w:keepLines/>
              <w:spacing w:after="0"/>
              <w:jc w:val="center"/>
              <w:rPr>
                <w:rFonts w:ascii="Arial" w:hAnsi="Arial" w:cs="Arial"/>
                <w:b/>
                <w:sz w:val="18"/>
                <w:szCs w:val="18"/>
              </w:rPr>
            </w:pPr>
          </w:p>
        </w:tc>
        <w:tc>
          <w:tcPr>
            <w:tcW w:w="709" w:type="dxa"/>
            <w:vMerge w:val="continue"/>
            <w:tcBorders>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p>
        </w:tc>
        <w:tc>
          <w:tcPr>
            <w:tcW w:w="1139"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1284" w:type="dxa"/>
            <w:gridSpan w:val="2"/>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992" w:type="dxa"/>
            <w:tcBorders>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997" w:type="dxa"/>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1124" w:type="dxa"/>
            <w:vMerge w:val="continue"/>
            <w:tcBorders>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b/>
                <w:sz w:val="18"/>
                <w:szCs w:val="18"/>
              </w:rPr>
            </w:pP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[137+</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vMerge w:val="restart"/>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p>
          <w:p>
            <w:pPr>
              <w:keepNext/>
              <w:keepLines/>
              <w:spacing w:after="0"/>
              <w:jc w:val="center"/>
              <w:rPr>
                <w:rFonts w:ascii="Arial" w:hAnsi="Arial" w:cs="Arial"/>
                <w:sz w:val="18"/>
                <w:szCs w:val="18"/>
              </w:rPr>
            </w:pPr>
            <w:r>
              <w:rPr>
                <w:rFonts w:ascii="Arial" w:hAnsi="Arial" w:cs="Arial"/>
                <w:sz w:val="18"/>
                <w:szCs w:val="18"/>
              </w:rPr>
              <w:t>15</w:t>
            </w:r>
          </w:p>
        </w:tc>
        <w:tc>
          <w:tcPr>
            <w:tcW w:w="1139" w:type="dxa"/>
            <w:tcBorders>
              <w:top w:val="single" w:color="auto" w:sz="6" w:space="0"/>
              <w:left w:val="single" w:color="auto" w:sz="6" w:space="0"/>
              <w:bottom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[96+</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[62+</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      ≥[1]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714" w:type="dxa"/>
            <w:vMerge w:val="restart"/>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[42+</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trHeight w:val="208" w:hRule="atLeast"/>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highlight w:val="none"/>
              </w:rPr>
              <w:t>± [180+</w:t>
            </w:r>
            <w:r>
              <w:rPr>
                <w:rFonts w:ascii="Arial" w:hAnsi="Arial" w:cs="Arial"/>
                <w:sz w:val="18"/>
                <w:szCs w:val="18"/>
                <w:highlight w:val="none"/>
              </w:rPr>
              <w:sym w:font="Symbol" w:char="F064"/>
            </w:r>
            <w:r>
              <w:rPr>
                <w:rFonts w:ascii="Arial" w:hAnsi="Arial" w:cs="Arial"/>
                <w:sz w:val="18"/>
                <w:szCs w:val="18"/>
                <w:highlight w:val="none"/>
              </w:rPr>
              <w:t>]</w:t>
            </w:r>
          </w:p>
        </w:tc>
        <w:tc>
          <w:tcPr>
            <w:tcW w:w="714"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p>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vMerge w:val="restart"/>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p>
          <w:p>
            <w:pPr>
              <w:keepNext/>
              <w:keepLines/>
              <w:spacing w:after="0"/>
              <w:jc w:val="center"/>
              <w:rPr>
                <w:rFonts w:ascii="Arial" w:hAnsi="Arial" w:cs="Arial"/>
                <w:sz w:val="18"/>
                <w:szCs w:val="18"/>
              </w:rPr>
            </w:pPr>
            <w:r>
              <w:rPr>
                <w:rFonts w:ascii="Arial" w:hAnsi="Arial" w:cs="Arial"/>
                <w:sz w:val="18"/>
                <w:szCs w:val="18"/>
              </w:rPr>
              <w:t>15</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[98+</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highlight w:val="yellow"/>
              </w:rPr>
              <w:t>± [68+</w:t>
            </w:r>
            <w:r>
              <w:rPr>
                <w:rFonts w:ascii="Arial" w:hAnsi="Arial" w:cs="Arial"/>
                <w:sz w:val="18"/>
                <w:szCs w:val="18"/>
                <w:highlight w:val="yellow"/>
              </w:rPr>
              <w:sym w:font="Symbol" w:char="F064"/>
            </w:r>
            <w:r>
              <w:rPr>
                <w:rFonts w:ascii="Arial" w:hAnsi="Arial" w:cs="Arial"/>
                <w:sz w:val="18"/>
                <w:szCs w:val="18"/>
                <w:highlight w:val="yellow"/>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sz w:val="18"/>
                <w:highlight w:val="yellow"/>
                <w:lang w:eastAsia="zh-CN"/>
              </w:rPr>
              <w:t>&gt;[104]</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TBD</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highlight w:val="yellow"/>
              </w:rPr>
              <w:t>± [85+</w:t>
            </w:r>
            <w:r>
              <w:rPr>
                <w:rFonts w:ascii="Arial" w:hAnsi="Arial" w:cs="Arial"/>
                <w:sz w:val="18"/>
                <w:szCs w:val="18"/>
                <w:highlight w:val="yellow"/>
              </w:rPr>
              <w:sym w:font="Symbol" w:char="F064"/>
            </w:r>
            <w:r>
              <w:rPr>
                <w:rFonts w:ascii="Arial" w:hAnsi="Arial" w:cs="Arial"/>
                <w:sz w:val="18"/>
                <w:szCs w:val="18"/>
                <w:highlight w:val="yellow"/>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theme="minorHAnsi"/>
                <w:sz w:val="18"/>
              </w:rPr>
            </w:pPr>
            <w:bookmarkStart w:id="7" w:name="_GoBack"/>
            <w:r>
              <w:rPr>
                <w:rFonts w:ascii="Arial" w:hAnsi="Arial" w:cstheme="minorHAnsi"/>
                <w:sz w:val="18"/>
                <w:highlight w:val="yellow"/>
              </w:rPr>
              <w:t>≥[48]</w:t>
            </w:r>
            <w:bookmarkEnd w:id="7"/>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highlight w:val="none"/>
              </w:rPr>
              <w:t>± [44+</w:t>
            </w:r>
            <w:r>
              <w:rPr>
                <w:rFonts w:ascii="Arial" w:hAnsi="Arial" w:cs="Arial"/>
                <w:sz w:val="18"/>
                <w:szCs w:val="18"/>
                <w:highlight w:val="none"/>
              </w:rPr>
              <w:sym w:font="Symbol" w:char="F064"/>
            </w:r>
            <w:r>
              <w:rPr>
                <w:rFonts w:ascii="Arial" w:hAnsi="Arial" w:cs="Arial"/>
                <w:sz w:val="18"/>
                <w:szCs w:val="18"/>
                <w:highlight w:val="none"/>
              </w:rPr>
              <w:t>]</w:t>
            </w:r>
          </w:p>
        </w:tc>
        <w:tc>
          <w:tcPr>
            <w:tcW w:w="714" w:type="dxa"/>
            <w:vMerge w:val="restart"/>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[139+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[66+</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0206" w:type="dxa"/>
            <w:gridSpan w:val="11"/>
            <w:tcBorders>
              <w:top w:val="single" w:color="auto" w:sz="6" w:space="0"/>
              <w:left w:val="single" w:color="auto" w:sz="4" w:space="0"/>
              <w:bottom w:val="single" w:color="auto" w:sz="4" w:space="0"/>
              <w:right w:val="single" w:color="auto" w:sz="4" w:space="0"/>
            </w:tcBorders>
          </w:tcPr>
          <w:p>
            <w:pPr>
              <w:pStyle w:val="78"/>
            </w:pPr>
            <w:r>
              <w:t>N</w:t>
            </w:r>
            <w:r>
              <w:rPr>
                <w:lang w:eastAsia="zh-CN"/>
              </w:rPr>
              <w:t>OTE</w:t>
            </w:r>
            <w:r>
              <w:t xml:space="preserve"> 1:</w:t>
            </w:r>
            <w:r>
              <w:tab/>
            </w:r>
            <w:r>
              <w:t>This minimum Io condition is expressed as the average Io per RE over all REs in an OFDM symbol.</w:t>
            </w:r>
          </w:p>
          <w:p>
            <w:pPr>
              <w:pStyle w:val="78"/>
            </w:pPr>
            <w:r>
              <w:t>NOTE 2:</w:t>
            </w:r>
            <w:r>
              <w:tab/>
            </w:r>
            <w:r>
              <w:t>NR operating band groups are as defined in Section 3.5.</w:t>
            </w:r>
          </w:p>
          <w:p>
            <w:pPr>
              <w:pStyle w:val="78"/>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ctrlPr>
                    <w:rPr>
                      <w:rFonts w:ascii="Cambria Math" w:hAnsi="Cambria Math"/>
                      <w:i/>
                    </w:rPr>
                  </m:ctrlPr>
                </m:e>
                <m:sub>
                  <m:r>
                    <m:rPr>
                      <m:nor/>
                      <m:sty m:val="p"/>
                    </m:rPr>
                    <w:rPr>
                      <w:rFonts w:ascii="Cambria Math" w:hAnsi="Cambria Math"/>
                      <w:b w:val="0"/>
                      <w:i w:val="0"/>
                    </w:rPr>
                    <m:t>rep</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r>
                <w:rPr>
                  <w:rFonts w:ascii="Cambria Math" w:hAnsi="Cambria Math"/>
                </w:rPr>
                <m:t xml:space="preserve">, </m:t>
              </m:r>
              <m:sSub>
                <m:sSubPr>
                  <m:ctrlPr>
                    <w:rPr>
                      <w:rFonts w:ascii="Cambria Math" w:hAnsi="Cambria Math"/>
                    </w:rPr>
                  </m:ctrlPr>
                </m:sSubPr>
                <m:e>
                  <m:r>
                    <w:rPr>
                      <w:rFonts w:ascii="Cambria Math" w:hAnsi="Cambria Math"/>
                    </w:rPr>
                    <m:t>L</m:t>
                  </m:r>
                  <m:ctrlPr>
                    <w:rPr>
                      <w:rFonts w:ascii="Cambria Math" w:hAnsi="Cambria Math"/>
                    </w:rPr>
                  </m:ctrlPr>
                </m:e>
                <m:sub>
                  <m:r>
                    <m:rPr>
                      <m:nor/>
                      <m:sty m:val="p"/>
                    </m:rPr>
                    <w:rPr>
                      <w:b w:val="0"/>
                      <w:i w:val="0"/>
                    </w:rPr>
                    <m:t>PRS</m:t>
                  </m:r>
                  <m:ctrlPr>
                    <w:rPr>
                      <w:rFonts w:ascii="Cambria Math" w:hAnsi="Cambria Math"/>
                    </w:rPr>
                  </m:ctrlPr>
                </m:sub>
              </m:sSub>
              <m:r>
                <w:rPr>
                  <w:rFonts w:ascii="Cambria Math" w:hAnsi="Cambria Math"/>
                </w:rPr>
                <m:t xml:space="preserve"> ,</m:t>
              </m:r>
              <m:sSubSup>
                <m:sSubSupPr>
                  <m:ctrlPr>
                    <w:rPr>
                      <w:rFonts w:ascii="Cambria Math" w:hAnsi="Cambria Math"/>
                      <w:i/>
                    </w:rPr>
                  </m:ctrlPr>
                </m:sSubSupPr>
                <m:e>
                  <m:r>
                    <w:rPr>
                      <w:rFonts w:ascii="Cambria Math" w:hAnsi="Cambria Math"/>
                    </w:rPr>
                    <m:t>K</m:t>
                  </m:r>
                  <m:ctrlPr>
                    <w:rPr>
                      <w:rFonts w:ascii="Cambria Math" w:hAnsi="Cambria Math"/>
                      <w:i/>
                    </w:rPr>
                  </m:ctrlPr>
                </m:e>
                <m:sub>
                  <m:r>
                    <m:rPr>
                      <m:nor/>
                      <m:sty m:val="p"/>
                    </m:rPr>
                    <w:rPr>
                      <w:rFonts w:ascii="Cambria Math" w:hAnsi="Cambria Math"/>
                      <w:b w:val="0"/>
                      <w:i w:val="0"/>
                    </w:rPr>
                    <m:t>comb</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eastAsia="zh-CN"/>
              </w:rPr>
              <w:t>.</w:t>
            </w:r>
          </w:p>
          <w:p>
            <w:pPr>
              <w:pStyle w:val="78"/>
            </w:pPr>
            <w:r>
              <w:t>NOTE 4:</w:t>
            </w:r>
            <w:r>
              <w:tab/>
            </w:r>
            <w:r>
              <w:t>The Io is defined in PRS slots. The same Io range applies to PRS and non-PRS symbols. Io levels are different in PRS and non-PRS symbols within the same slot.</w:t>
            </w:r>
          </w:p>
          <w:p>
            <w:pPr>
              <w:pStyle w:val="78"/>
            </w:pPr>
            <w:r>
              <w:t>N</w:t>
            </w:r>
            <w:r>
              <w:rPr>
                <w:lang w:eastAsia="zh-CN"/>
              </w:rPr>
              <w:t>OTE</w:t>
            </w:r>
            <w:r>
              <w:t xml:space="preserve"> 5:</w:t>
            </w:r>
            <w:r>
              <w:tab/>
            </w:r>
            <w:r>
              <w:t>Tc is the basic timing unit defined in TS 38.211 [6].</w:t>
            </w:r>
          </w:p>
        </w:tc>
      </w:tr>
    </w:tbl>
    <w:p>
      <w:pPr>
        <w:rPr>
          <w:rFonts w:eastAsiaTheme="minorEastAsia"/>
        </w:rPr>
      </w:pPr>
    </w:p>
    <w:p>
      <w:pPr>
        <w:rPr>
          <w:rFonts w:eastAsiaTheme="minorEastAsia"/>
        </w:rPr>
      </w:pPr>
      <w:r>
        <w:rPr>
          <w:rFonts w:eastAsiaTheme="minorEastAsia"/>
        </w:rPr>
        <w:t xml:space="preserve">The accuracy requirements for gNB Rx-Tx time difference measurement shall be within </w:t>
      </w:r>
      <w:r>
        <w:t>±(X+Y) T</w:t>
      </w:r>
      <w:r>
        <w:rPr>
          <w:vertAlign w:val="subscript"/>
        </w:rPr>
        <w:t>c</w:t>
      </w:r>
      <w:r>
        <w:rPr>
          <w:rFonts w:eastAsiaTheme="minorEastAsia"/>
        </w:rPr>
        <w:t xml:space="preserve"> under the following conditions:</w:t>
      </w:r>
    </w:p>
    <w:p>
      <w:pPr>
        <w:pStyle w:val="87"/>
      </w:pPr>
      <w:r>
        <w:t>-</w:t>
      </w:r>
      <w:r>
        <w:tab/>
      </w:r>
      <w:r>
        <w:t>AWGN propagation conditions.</w:t>
      </w:r>
    </w:p>
    <w:p>
      <w:pPr>
        <w:pStyle w:val="87"/>
      </w:pPr>
      <w:r>
        <w:t>-</w:t>
      </w:r>
      <w:r>
        <w:tab/>
      </w:r>
      <w:r>
        <w:t>The measured signals are in the directions covered by RoAoA of OTA reference sensitivity requirements for gNB type 1-O and 2-O BS</w:t>
      </w:r>
    </w:p>
    <w:p>
      <w:r>
        <w:t xml:space="preserve">where </w:t>
      </w:r>
    </w:p>
    <w:p>
      <w:pPr>
        <w:pStyle w:val="87"/>
      </w:pPr>
      <w:r>
        <w:t>-</w:t>
      </w:r>
      <w:r>
        <w:tab/>
      </w:r>
      <w:r>
        <w:t>X is defined in Table 13.2.2.2-1 for gNB types 1-C, 1-H and 1-O and in Table 13.2.2.2-2 for gNB type 2-O.</w:t>
      </w:r>
    </w:p>
    <w:p>
      <w:pPr>
        <w:pStyle w:val="87"/>
      </w:pPr>
      <w:r>
        <w:t>-</w:t>
      </w:r>
      <w:r>
        <w:tab/>
      </w:r>
      <w:r>
        <w:t>Y is declared by manufacturer and can be different for different gNB types 1-C, 1-H, 1-O and 2-O.</w:t>
      </w:r>
    </w:p>
    <w:p>
      <w:pPr>
        <w:rPr>
          <w:rFonts w:eastAsiaTheme="minorEastAsia"/>
          <w:i/>
          <w:iCs/>
        </w:rPr>
      </w:pPr>
      <w:r>
        <w:rPr>
          <w:rFonts w:eastAsiaTheme="minorEastAsia"/>
        </w:rPr>
        <w:t>Note: The measurement accuracy requirements in Table 13.2.2.2-1 and Table 13.2.2.2-2 are defined under an assumption that gNB is not mandated to perform receive beam sweeping.</w:t>
      </w:r>
    </w:p>
    <w:p>
      <w:pPr>
        <w:rPr>
          <w:rFonts w:eastAsiaTheme="minorEastAsia"/>
          <w:i/>
        </w:rPr>
      </w:pPr>
      <w:r>
        <w:rPr>
          <w:rFonts w:eastAsiaTheme="minorEastAsia"/>
          <w:i/>
        </w:rPr>
        <w:t>Editor’s Note: The accuracy numbers can be revisited based on the new simulation results for the lower bounds of SRS BW ranges which were not simulated.</w:t>
      </w:r>
    </w:p>
    <w:p>
      <w:pPr>
        <w:rPr>
          <w:rFonts w:eastAsia="MS Mincho" w:cs="v4.2.0"/>
          <w:i/>
          <w:iCs/>
        </w:rPr>
      </w:pPr>
      <w:r>
        <w:rPr>
          <w:rFonts w:eastAsiaTheme="minorEastAsia"/>
          <w:i/>
        </w:rPr>
        <w:t>Editor’s Note: The averaging method for baseline gNB Rx-Tx accuracy can be revisited to take into account the spread of proposals from contributing companies.</w:t>
      </w:r>
    </w:p>
    <w:p>
      <w:pPr>
        <w:pStyle w:val="67"/>
      </w:pPr>
      <w:r>
        <w:t>Table 13.2.2.2-1: gNB Rx-Tx time difference absolute accuracy in FR1 for gNB type 1-C, 1-H and 1-O</w:t>
      </w:r>
    </w:p>
    <w:tbl>
      <w:tblPr>
        <w:tblStyle w:val="160"/>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2074"/>
        <w:gridCol w:w="1801"/>
        <w:gridCol w:w="2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b/>
                <w:sz w:val="18"/>
                <w:szCs w:val="18"/>
              </w:rPr>
            </w:pPr>
            <w:r>
              <w:rPr>
                <w:rFonts w:ascii="Arial" w:hAnsi="Arial" w:eastAsia="MS Mincho" w:cs="Arial"/>
                <w:b/>
                <w:sz w:val="18"/>
                <w:szCs w:val="18"/>
              </w:rPr>
              <w:t>Accuracy</w:t>
            </w:r>
          </w:p>
        </w:tc>
        <w:tc>
          <w:tcPr>
            <w:tcW w:w="2074" w:type="dxa"/>
          </w:tcPr>
          <w:p>
            <w:pPr>
              <w:spacing w:after="0"/>
              <w:jc w:val="center"/>
              <w:rPr>
                <w:rFonts w:ascii="Arial" w:hAnsi="Arial" w:eastAsia="MS Mincho" w:cs="Arial"/>
                <w:b/>
                <w:sz w:val="18"/>
                <w:szCs w:val="18"/>
              </w:rPr>
            </w:pPr>
            <w:r>
              <w:rPr>
                <w:rFonts w:ascii="Arial" w:hAnsi="Arial" w:eastAsia="MS Mincho" w:cs="Arial"/>
                <w:b/>
                <w:sz w:val="18"/>
                <w:szCs w:val="18"/>
              </w:rPr>
              <w:t>SRS Ês/Iot</w:t>
            </w:r>
          </w:p>
        </w:tc>
        <w:tc>
          <w:tcPr>
            <w:tcW w:w="1801" w:type="dxa"/>
          </w:tcPr>
          <w:p>
            <w:pPr>
              <w:spacing w:after="0"/>
              <w:jc w:val="center"/>
              <w:rPr>
                <w:rFonts w:ascii="Arial" w:hAnsi="Arial" w:eastAsia="MS Mincho" w:cs="Arial"/>
                <w:b/>
                <w:sz w:val="18"/>
                <w:szCs w:val="18"/>
              </w:rPr>
            </w:pPr>
            <w:r>
              <w:rPr>
                <w:rFonts w:ascii="Arial" w:hAnsi="Arial" w:eastAsia="MS Mincho" w:cs="Arial"/>
                <w:b/>
                <w:sz w:val="18"/>
                <w:szCs w:val="18"/>
              </w:rPr>
              <w:t>SCS</w:t>
            </w:r>
          </w:p>
        </w:tc>
        <w:tc>
          <w:tcPr>
            <w:tcW w:w="2347" w:type="dxa"/>
          </w:tcPr>
          <w:p>
            <w:pPr>
              <w:spacing w:after="0"/>
              <w:jc w:val="center"/>
              <w:rPr>
                <w:rFonts w:ascii="Arial" w:hAnsi="Arial" w:eastAsia="MS Mincho" w:cs="Arial"/>
                <w:b/>
                <w:sz w:val="18"/>
                <w:szCs w:val="18"/>
              </w:rPr>
            </w:pPr>
            <w:r>
              <w:rPr>
                <w:rFonts w:ascii="Arial" w:hAnsi="Arial" w:eastAsia="MS Mincho" w:cs="Arial"/>
                <w:b/>
                <w:sz w:val="18"/>
                <w:szCs w:val="18"/>
              </w:rPr>
              <w:t>SRS bandwidth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Tc</w:t>
            </w:r>
          </w:p>
        </w:tc>
        <w:tc>
          <w:tcPr>
            <w:tcW w:w="2074"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dB</w:t>
            </w:r>
          </w:p>
        </w:tc>
        <w:tc>
          <w:tcPr>
            <w:tcW w:w="1801"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kHz</w:t>
            </w:r>
          </w:p>
        </w:tc>
        <w:tc>
          <w:tcPr>
            <w:tcW w:w="2347"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[63]</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hint="eastAsia" w:ascii="Arial" w:hAnsi="Arial" w:eastAsia="MS Mincho" w:cs="Arial"/>
                <w:sz w:val="18"/>
                <w:szCs w:val="18"/>
                <w:lang w:eastAsia="zh-CN"/>
              </w:rPr>
              <w:t>1</w:t>
            </w:r>
            <w:r>
              <w:rPr>
                <w:rFonts w:ascii="Arial" w:hAnsi="Arial" w:eastAsia="MS Mincho" w:cs="Arial"/>
                <w:sz w:val="18"/>
                <w:szCs w:val="18"/>
                <w:lang w:eastAsia="zh-CN"/>
              </w:rPr>
              <w:t>5</w:t>
            </w: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44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highlight w:val="yellow"/>
                <w:lang w:eastAsia="zh-CN"/>
              </w:rPr>
              <w:t>[31]</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highlight w:val="yellow"/>
                <w:lang w:eastAsia="zh-CN"/>
              </w:rPr>
              <w:t xml:space="preserve"> 88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[15]</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2074" w:type="dxa"/>
          </w:tcPr>
          <w:p>
            <w:pPr>
              <w:spacing w:after="0"/>
              <w:jc w:val="center"/>
              <w:rPr>
                <w:rFonts w:ascii="Arial" w:hAnsi="Arial" w:eastAsia="MS Mincho" w:cs="Arial"/>
                <w:sz w:val="18"/>
                <w:szCs w:val="18"/>
                <w:highlight w:val="none"/>
                <w:lang w:eastAsia="zh-CN"/>
              </w:rPr>
            </w:pPr>
            <w:r>
              <w:rPr>
                <w:rFonts w:ascii="Arial" w:hAnsi="Arial" w:eastAsia="MS Mincho" w:cs="Arial"/>
                <w:sz w:val="18"/>
                <w:szCs w:val="18"/>
                <w:highlight w:val="none"/>
                <w:lang w:eastAsia="zh-CN"/>
              </w:rPr>
              <w:t>[117]</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24 ≤ BW ≤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[60]</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44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[31]</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88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[15]</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highlight w:val="none"/>
                <w:lang w:eastAsia="zh-CN"/>
              </w:rPr>
            </w:pPr>
            <w:r>
              <w:rPr>
                <w:rFonts w:ascii="Arial" w:hAnsi="Arial" w:eastAsia="MS Mincho" w:cs="Arial"/>
                <w:sz w:val="18"/>
                <w:szCs w:val="18"/>
                <w:highlight w:val="yellow"/>
                <w:lang w:eastAsia="zh-CN"/>
              </w:rPr>
              <w:t>[37]</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30</w:t>
            </w:r>
          </w:p>
        </w:tc>
        <w:tc>
          <w:tcPr>
            <w:tcW w:w="2347" w:type="dxa"/>
          </w:tcPr>
          <w:p>
            <w:pPr>
              <w:spacing w:after="0"/>
              <w:jc w:val="center"/>
              <w:rPr>
                <w:rFonts w:ascii="Arial" w:hAnsi="Arial" w:eastAsia="MS Mincho" w:cs="Arial"/>
                <w:sz w:val="18"/>
                <w:szCs w:val="18"/>
                <w:highlight w:val="yellow"/>
                <w:lang w:eastAsia="zh-CN"/>
              </w:rPr>
            </w:pPr>
            <w:r>
              <w:rPr>
                <w:rFonts w:ascii="Arial" w:hAnsi="Arial" w:eastAsia="MS Mincho" w:cs="Arial"/>
                <w:sz w:val="18"/>
                <w:szCs w:val="18"/>
                <w:highlight w:val="yellow"/>
                <w:lang w:eastAsia="zh-CN"/>
              </w:rPr>
              <w:t xml:space="preserve"> 48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[15]</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88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[31]</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48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[15]</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88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[19]</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60</w:t>
            </w: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48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88 ≤ BW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[15]</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48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88 ≤ BW </w:t>
            </w:r>
          </w:p>
        </w:tc>
      </w:tr>
    </w:tbl>
    <w:p/>
    <w:p>
      <w:pPr>
        <w:pStyle w:val="67"/>
      </w:pPr>
      <w:r>
        <w:t>Table 13.2.2.2-2: gNB Rx-Tx time difference absolute accuracy in FR2 for gNB type 2-O</w:t>
      </w:r>
    </w:p>
    <w:tbl>
      <w:tblPr>
        <w:tblStyle w:val="160"/>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2074"/>
        <w:gridCol w:w="1801"/>
        <w:gridCol w:w="2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b/>
                <w:sz w:val="18"/>
                <w:szCs w:val="18"/>
              </w:rPr>
            </w:pPr>
            <w:r>
              <w:rPr>
                <w:rFonts w:ascii="Arial" w:hAnsi="Arial" w:eastAsia="MS Mincho" w:cs="Arial"/>
                <w:b/>
                <w:sz w:val="18"/>
                <w:szCs w:val="18"/>
              </w:rPr>
              <w:t>Accuracy</w:t>
            </w:r>
          </w:p>
        </w:tc>
        <w:tc>
          <w:tcPr>
            <w:tcW w:w="2074" w:type="dxa"/>
          </w:tcPr>
          <w:p>
            <w:pPr>
              <w:spacing w:after="0"/>
              <w:jc w:val="center"/>
              <w:rPr>
                <w:rFonts w:ascii="Arial" w:hAnsi="Arial" w:eastAsia="MS Mincho" w:cs="Arial"/>
                <w:b/>
                <w:sz w:val="18"/>
                <w:szCs w:val="18"/>
              </w:rPr>
            </w:pPr>
            <w:r>
              <w:rPr>
                <w:rFonts w:ascii="Arial" w:hAnsi="Arial" w:eastAsia="MS Mincho" w:cs="Arial"/>
                <w:b/>
                <w:sz w:val="18"/>
                <w:szCs w:val="18"/>
              </w:rPr>
              <w:t>SRS Ês/Iot</w:t>
            </w:r>
          </w:p>
        </w:tc>
        <w:tc>
          <w:tcPr>
            <w:tcW w:w="1801" w:type="dxa"/>
          </w:tcPr>
          <w:p>
            <w:pPr>
              <w:spacing w:after="0"/>
              <w:jc w:val="center"/>
              <w:rPr>
                <w:rFonts w:ascii="Arial" w:hAnsi="Arial" w:eastAsia="MS Mincho" w:cs="Arial"/>
                <w:b/>
                <w:sz w:val="18"/>
                <w:szCs w:val="18"/>
              </w:rPr>
            </w:pPr>
            <w:r>
              <w:rPr>
                <w:rFonts w:ascii="Arial" w:hAnsi="Arial" w:eastAsia="MS Mincho" w:cs="Arial"/>
                <w:b/>
                <w:sz w:val="18"/>
                <w:szCs w:val="18"/>
              </w:rPr>
              <w:t>SCS</w:t>
            </w:r>
          </w:p>
        </w:tc>
        <w:tc>
          <w:tcPr>
            <w:tcW w:w="2347" w:type="dxa"/>
          </w:tcPr>
          <w:p>
            <w:pPr>
              <w:spacing w:after="0"/>
              <w:jc w:val="center"/>
              <w:rPr>
                <w:rFonts w:ascii="Arial" w:hAnsi="Arial" w:eastAsia="MS Mincho" w:cs="Arial"/>
                <w:b/>
                <w:sz w:val="18"/>
                <w:szCs w:val="18"/>
              </w:rPr>
            </w:pPr>
            <w:r>
              <w:rPr>
                <w:rFonts w:ascii="Arial" w:hAnsi="Arial" w:eastAsia="MS Mincho" w:cs="Arial"/>
                <w:b/>
                <w:sz w:val="18"/>
                <w:szCs w:val="18"/>
              </w:rPr>
              <w:t>SRS bandwidth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Tc</w:t>
            </w:r>
          </w:p>
        </w:tc>
        <w:tc>
          <w:tcPr>
            <w:tcW w:w="2074"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dB</w:t>
            </w:r>
          </w:p>
        </w:tc>
        <w:tc>
          <w:tcPr>
            <w:tcW w:w="1801"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kHz</w:t>
            </w:r>
          </w:p>
        </w:tc>
        <w:tc>
          <w:tcPr>
            <w:tcW w:w="2347"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hint="eastAsia" w:ascii="Arial" w:hAnsi="Arial" w:eastAsia="MS Mincho" w:cs="Arial"/>
                <w:sz w:val="18"/>
                <w:szCs w:val="18"/>
                <w:lang w:eastAsia="zh-CN"/>
              </w:rPr>
              <w:t>6</w:t>
            </w:r>
            <w:r>
              <w:rPr>
                <w:rFonts w:ascii="Arial" w:hAnsi="Arial" w:eastAsia="MS Mincho" w:cs="Arial"/>
                <w:sz w:val="18"/>
                <w:szCs w:val="18"/>
                <w:lang w:eastAsia="zh-CN"/>
              </w:rPr>
              <w:t>0</w:t>
            </w: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132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132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[19]</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120</w:t>
            </w: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32 ≤ BW ≤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44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88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[15]</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32 ≤ BW ≤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44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88 ≤ BW</w:t>
            </w:r>
          </w:p>
        </w:tc>
      </w:tr>
    </w:tbl>
    <w:p>
      <w:pPr>
        <w:rPr>
          <w:rFonts w:eastAsiaTheme="minorEastAsia"/>
        </w:rPr>
      </w:pPr>
    </w:p>
    <w:p>
      <w:pPr>
        <w:pStyle w:val="3"/>
        <w:bidi w:val="0"/>
        <w:rPr>
          <w:rFonts w:hint="default"/>
          <w:lang w:val="en-US" w:eastAsia="zh-CN"/>
        </w:rPr>
      </w:pPr>
      <w:r>
        <w:rPr>
          <w:rFonts w:hint="default"/>
          <w:lang w:val="en-US" w:eastAsia="zh-CN"/>
        </w:rPr>
        <w:t>Discussion on RTT-based PDC</w:t>
      </w:r>
    </w:p>
    <w:p>
      <w:pPr>
        <w:rPr>
          <w:rFonts w:hint="default"/>
          <w:lang w:val="en-US" w:eastAsia="zh-CN"/>
        </w:rPr>
      </w:pPr>
      <w:r>
        <w:rPr>
          <w:rFonts w:hint="default"/>
          <w:lang w:val="en-US" w:eastAsia="zh-CN"/>
        </w:rPr>
        <w:t>The following are copied from R1-2108844.</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beforeLines="50" w:line="280" w:lineRule="atLeast"/>
              <w:rPr>
                <w:lang w:eastAsia="zh-CN"/>
              </w:rPr>
            </w:pPr>
            <w:r>
              <w:rPr>
                <w:lang w:eastAsia="zh-CN"/>
              </w:rPr>
              <w:t xml:space="preserve">In addition, it was agreed that CSI-RS for tracking or PRS can be used for Rx-Tx time difference estimation at the UE side and SRS can be used for Rx-Tx time difference estimation at the network side if RTT-based propagation delay compensation is supported. Figure 1 is an example of the Alt. 2, where the UE and the network measure the same DL signal and UL signal pair (or DL subframe and UL subframe pair). </w:t>
            </w:r>
          </w:p>
          <w:p>
            <w:pPr>
              <w:spacing w:before="120" w:line="280" w:lineRule="atLeast"/>
              <w:jc w:val="center"/>
            </w:pPr>
            <w:r>
              <w:object>
                <v:shape id="_x0000_i1029" o:spt="75" type="#_x0000_t75" style="height:215.05pt;width:414.7pt;" o:ole="t" filled="f" o:preferrelative="t" stroked="f" coordsize="21600,21600">
                  <v:path/>
                  <v:fill on="f" focussize="0,0"/>
                  <v:stroke on="f" joinstyle="miter"/>
                  <v:imagedata r:id="rId10" o:title=""/>
                  <o:lock v:ext="edit" aspectratio="t"/>
                  <w10:wrap type="none"/>
                  <w10:anchorlock/>
                </v:shape>
                <o:OLEObject Type="Embed" ProgID="Visio.Drawing.11" ShapeID="_x0000_i1029" DrawAspect="Content" ObjectID="_1468075725" r:id="rId9">
                  <o:LockedField>false</o:LockedField>
                </o:OLEObject>
              </w:object>
            </w:r>
          </w:p>
          <w:p>
            <w:pPr>
              <w:spacing w:before="120" w:line="280" w:lineRule="atLeast"/>
              <w:jc w:val="center"/>
              <w:rPr>
                <w:lang w:eastAsia="zh-CN"/>
              </w:rPr>
            </w:pPr>
            <w:r>
              <w:rPr>
                <w:rFonts w:hint="eastAsia"/>
                <w:lang w:eastAsia="zh-CN"/>
              </w:rPr>
              <w:t xml:space="preserve">Figure 1 RTT-based </w:t>
            </w:r>
            <w:r>
              <w:rPr>
                <w:lang w:eastAsia="zh-CN"/>
              </w:rPr>
              <w:t>p</w:t>
            </w:r>
            <w:r>
              <w:rPr>
                <w:rFonts w:hint="eastAsia"/>
                <w:lang w:eastAsia="zh-CN"/>
              </w:rPr>
              <w:t>ropagation delay estimation</w:t>
            </w:r>
          </w:p>
          <w:p>
            <w:pPr>
              <w:spacing w:before="120" w:line="280" w:lineRule="atLeast"/>
              <w:rPr>
                <w:lang w:eastAsia="zh-CN"/>
              </w:rPr>
            </w:pPr>
            <w:r>
              <w:rPr>
                <w:lang w:eastAsia="zh-CN"/>
              </w:rPr>
              <w:t xml:space="preserve">However, if the network and the UE measure the different DL signal and UL signal pairs at different time, then the </w:t>
            </w:r>
            <w:r>
              <w:rPr>
                <w:rFonts w:hint="eastAsia"/>
                <w:lang w:eastAsia="zh-CN"/>
              </w:rPr>
              <w:t>BS transmitting time error</w:t>
            </w:r>
            <w:r>
              <w:rPr>
                <w:lang w:eastAsia="zh-CN"/>
              </w:rPr>
              <w:t xml:space="preserve"> and the </w:t>
            </w:r>
            <w:r>
              <w:rPr>
                <w:rFonts w:hint="eastAsia"/>
                <w:lang w:eastAsia="zh-CN"/>
              </w:rPr>
              <w:t>BS uplink detection error</w:t>
            </w:r>
            <w:r>
              <w:rPr>
                <w:lang w:eastAsia="zh-CN"/>
              </w:rPr>
              <w:t xml:space="preserve"> are not consistent. It may lead to that the BS transmitting time error and BS uplink detection error double for the estimated propagation delay. This is very similar as the Alt. 1 in the working assumption for TA-based solution, where the BS transmitting time error and UE downlink detection error are not consistent due to two operations at the different time. An example is shown in the Figure 2 below, where the UE measures DL signal 1 and UL signal 1 </w:t>
            </w:r>
            <w:r>
              <w:rPr>
                <w:rFonts w:hint="default"/>
                <w:lang w:val="en-US" w:eastAsia="zh-CN"/>
              </w:rPr>
              <w:t xml:space="preserve">to obtain UE Rx-Tx time difference </w:t>
            </w:r>
            <w:r>
              <w:rPr>
                <w:lang w:eastAsia="zh-CN"/>
              </w:rPr>
              <w:t>while the network measures the DL signal 2 and UL signal 2</w:t>
            </w:r>
            <w:r>
              <w:rPr>
                <w:rFonts w:hint="default"/>
                <w:lang w:val="en-US" w:eastAsia="zh-CN"/>
              </w:rPr>
              <w:t xml:space="preserve"> to obtain gNB Rx-Tx time difference</w:t>
            </w:r>
            <w:r>
              <w:rPr>
                <w:lang w:eastAsia="zh-CN"/>
              </w:rPr>
              <w:t>. It can be seen that the BS transmitting time error and BS uplink detection error are not consistent in the measurement performed at the UE and the network.</w:t>
            </w:r>
          </w:p>
          <w:p>
            <w:pPr>
              <w:spacing w:before="120" w:line="280" w:lineRule="atLeast"/>
              <w:rPr>
                <w:lang w:eastAsia="zh-CN"/>
              </w:rPr>
            </w:pPr>
            <w:r>
              <w:rPr>
                <w:lang w:eastAsia="zh-CN"/>
              </w:rPr>
              <w:t xml:space="preserve">Similar as the discussion in section 2.1, to avoid the inconsistency, the network and the UE should measure the same DL signal and UL signal pair to obtain its Rx-Tx time difference. In other words, the same downlink subframe and uplink subframe should be measured. We believe such condition should also be applied in Alt. 1. </w:t>
            </w:r>
          </w:p>
          <w:p>
            <w:pPr>
              <w:spacing w:before="120" w:line="280" w:lineRule="atLeast"/>
              <w:jc w:val="center"/>
            </w:pPr>
            <w:r>
              <w:object>
                <v:shape id="_x0000_i1030" o:spt="75" type="#_x0000_t75" style="height:160.35pt;width:454.45pt;" o:ole="t" filled="f" o:preferrelative="t" stroked="f" coordsize="21600,21600">
                  <v:path/>
                  <v:fill on="f" focussize="0,0"/>
                  <v:stroke on="f" joinstyle="miter"/>
                  <v:imagedata r:id="rId12" o:title=""/>
                  <o:lock v:ext="edit" aspectratio="t"/>
                  <w10:wrap type="none"/>
                  <w10:anchorlock/>
                </v:shape>
                <o:OLEObject Type="Embed" ProgID="Visio.Drawing.11" ShapeID="_x0000_i1030" DrawAspect="Content" ObjectID="_1468075726" r:id="rId11">
                  <o:LockedField>false</o:LockedField>
                </o:OLEObject>
              </w:object>
            </w:r>
          </w:p>
          <w:p>
            <w:pPr>
              <w:spacing w:before="120" w:line="280" w:lineRule="atLeast"/>
              <w:jc w:val="center"/>
              <w:rPr>
                <w:lang w:eastAsia="zh-CN"/>
              </w:rPr>
            </w:pPr>
            <w:r>
              <w:t>Figure 2 RTT-based propagation delay estimation</w:t>
            </w:r>
          </w:p>
          <w:p>
            <w:pPr>
              <w:spacing w:before="120" w:line="280" w:lineRule="atLeast"/>
              <w:rPr>
                <w:rFonts w:hint="default"/>
                <w:vertAlign w:val="baseline"/>
                <w:lang w:val="en-US" w:eastAsia="zh-CN"/>
              </w:rPr>
            </w:pPr>
            <w:r>
              <w:rPr>
                <w:b/>
                <w:bCs/>
                <w:i/>
                <w:iCs/>
                <w:lang w:eastAsia="zh-CN"/>
              </w:rPr>
              <w:t>Proposal 3:</w:t>
            </w:r>
            <w:r>
              <w:rPr>
                <w:i/>
                <w:iCs/>
                <w:lang w:eastAsia="zh-CN"/>
              </w:rPr>
              <w:t xml:space="preserve"> The network and the UE should measure the same DL signal and UL signal pair to obtain its Rx-Tx time difference.</w:t>
            </w:r>
          </w:p>
        </w:tc>
      </w:tr>
    </w:tbl>
    <w:p>
      <w:pPr>
        <w:rPr>
          <w:rFonts w:hint="default"/>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roman"/>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4B22C3F"/>
    <w:multiLevelType w:val="multilevel"/>
    <w:tmpl w:val="14B22C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9D81FCD"/>
    <w:multiLevelType w:val="multilevel"/>
    <w:tmpl w:val="19D81F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8EE0877"/>
    <w:multiLevelType w:val="singleLevel"/>
    <w:tmpl w:val="48EE0877"/>
    <w:lvl w:ilvl="0" w:tentative="0">
      <w:start w:val="1"/>
      <w:numFmt w:val="bullet"/>
      <w:lvlText w:val=""/>
      <w:lvlJc w:val="left"/>
      <w:pPr>
        <w:ind w:left="420" w:hanging="420"/>
      </w:pPr>
      <w:rPr>
        <w:rFonts w:hint="default" w:ascii="Wingdings" w:hAnsi="Wingdings"/>
      </w:rPr>
    </w:lvl>
  </w:abstractNum>
  <w:abstractNum w:abstractNumId="7">
    <w:nsid w:val="59D333EB"/>
    <w:multiLevelType w:val="multilevel"/>
    <w:tmpl w:val="59D333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ADF688C"/>
    <w:multiLevelType w:val="multilevel"/>
    <w:tmpl w:val="5ADF688C"/>
    <w:lvl w:ilvl="0" w:tentative="0">
      <w:start w:val="1"/>
      <w:numFmt w:val="bullet"/>
      <w:lvlText w:val=""/>
      <w:lvlJc w:val="left"/>
      <w:pPr>
        <w:tabs>
          <w:tab w:val="left" w:pos="720"/>
        </w:tabs>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0"/>
  </w:num>
  <w:num w:numId="4">
    <w:abstractNumId w:val="5"/>
  </w:num>
  <w:num w:numId="5">
    <w:abstractNumId w:val="13"/>
  </w:num>
  <w:num w:numId="6">
    <w:abstractNumId w:val="9"/>
  </w:num>
  <w:num w:numId="7">
    <w:abstractNumId w:val="4"/>
  </w:num>
  <w:num w:numId="8">
    <w:abstractNumId w:val="12"/>
  </w:num>
  <w:num w:numId="9">
    <w:abstractNumId w:val="11"/>
  </w:num>
  <w:num w:numId="10">
    <w:abstractNumId w:val="7"/>
  </w:num>
  <w:num w:numId="11">
    <w:abstractNumId w:val="2"/>
  </w:num>
  <w:num w:numId="12">
    <w:abstractNumId w:val="1"/>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D9472D"/>
    <w:rsid w:val="01FC2529"/>
    <w:rsid w:val="026835F1"/>
    <w:rsid w:val="027F51D6"/>
    <w:rsid w:val="0284643E"/>
    <w:rsid w:val="02C0763E"/>
    <w:rsid w:val="02CC2DF9"/>
    <w:rsid w:val="0319183E"/>
    <w:rsid w:val="03532C3F"/>
    <w:rsid w:val="039046B7"/>
    <w:rsid w:val="03B25C4C"/>
    <w:rsid w:val="03C4027F"/>
    <w:rsid w:val="03E442A7"/>
    <w:rsid w:val="03F94E83"/>
    <w:rsid w:val="03FC4856"/>
    <w:rsid w:val="04144412"/>
    <w:rsid w:val="04280594"/>
    <w:rsid w:val="04E46C50"/>
    <w:rsid w:val="04E51BB8"/>
    <w:rsid w:val="04FC54BE"/>
    <w:rsid w:val="05772202"/>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F7541D"/>
    <w:rsid w:val="09531BE1"/>
    <w:rsid w:val="0957797D"/>
    <w:rsid w:val="0972706B"/>
    <w:rsid w:val="09C21BB6"/>
    <w:rsid w:val="09EC1FC7"/>
    <w:rsid w:val="0A2A77A5"/>
    <w:rsid w:val="0A7969DF"/>
    <w:rsid w:val="0A867EAB"/>
    <w:rsid w:val="0ACB6154"/>
    <w:rsid w:val="0AFC60B7"/>
    <w:rsid w:val="0B184842"/>
    <w:rsid w:val="0B6F0A8E"/>
    <w:rsid w:val="0BA473D0"/>
    <w:rsid w:val="0BAD20E5"/>
    <w:rsid w:val="0BAD7041"/>
    <w:rsid w:val="0BFD1C57"/>
    <w:rsid w:val="0C1F1F86"/>
    <w:rsid w:val="0C5123A8"/>
    <w:rsid w:val="0C6F5654"/>
    <w:rsid w:val="0C984199"/>
    <w:rsid w:val="0D132BA9"/>
    <w:rsid w:val="0D423CF3"/>
    <w:rsid w:val="0D5B0F38"/>
    <w:rsid w:val="0D5D345F"/>
    <w:rsid w:val="0D660AC2"/>
    <w:rsid w:val="0D672BF6"/>
    <w:rsid w:val="0D704096"/>
    <w:rsid w:val="0D80043B"/>
    <w:rsid w:val="0D910425"/>
    <w:rsid w:val="0DF918A9"/>
    <w:rsid w:val="0E120AD5"/>
    <w:rsid w:val="0E315E93"/>
    <w:rsid w:val="0E862F3F"/>
    <w:rsid w:val="0E9D6013"/>
    <w:rsid w:val="0EB06FFE"/>
    <w:rsid w:val="0EC57FE4"/>
    <w:rsid w:val="0F6B449B"/>
    <w:rsid w:val="0F997ACA"/>
    <w:rsid w:val="0F9C00AF"/>
    <w:rsid w:val="0FEE0729"/>
    <w:rsid w:val="10150A41"/>
    <w:rsid w:val="102F7219"/>
    <w:rsid w:val="103C4085"/>
    <w:rsid w:val="11001DB4"/>
    <w:rsid w:val="11572DD1"/>
    <w:rsid w:val="11DC793A"/>
    <w:rsid w:val="12300753"/>
    <w:rsid w:val="1241192F"/>
    <w:rsid w:val="1257267A"/>
    <w:rsid w:val="12602B9D"/>
    <w:rsid w:val="12A472D8"/>
    <w:rsid w:val="12BA4D2B"/>
    <w:rsid w:val="12F015F0"/>
    <w:rsid w:val="12FE321B"/>
    <w:rsid w:val="130859B8"/>
    <w:rsid w:val="133D5B30"/>
    <w:rsid w:val="135C64DF"/>
    <w:rsid w:val="137E61B0"/>
    <w:rsid w:val="13D91C28"/>
    <w:rsid w:val="141F2191"/>
    <w:rsid w:val="142A7523"/>
    <w:rsid w:val="14DD01BC"/>
    <w:rsid w:val="154567F6"/>
    <w:rsid w:val="15493DAC"/>
    <w:rsid w:val="15604ABA"/>
    <w:rsid w:val="157101B4"/>
    <w:rsid w:val="1575AEB2"/>
    <w:rsid w:val="15836BA2"/>
    <w:rsid w:val="164F7F6D"/>
    <w:rsid w:val="165E068A"/>
    <w:rsid w:val="16BD383B"/>
    <w:rsid w:val="1702D3F2"/>
    <w:rsid w:val="17230415"/>
    <w:rsid w:val="17A36C4C"/>
    <w:rsid w:val="17A625DA"/>
    <w:rsid w:val="17B77676"/>
    <w:rsid w:val="188D2058"/>
    <w:rsid w:val="18BA7603"/>
    <w:rsid w:val="18FD3F86"/>
    <w:rsid w:val="19235F0B"/>
    <w:rsid w:val="192B740B"/>
    <w:rsid w:val="192D5C32"/>
    <w:rsid w:val="193F26F1"/>
    <w:rsid w:val="19497C62"/>
    <w:rsid w:val="196337C8"/>
    <w:rsid w:val="198A694D"/>
    <w:rsid w:val="19980545"/>
    <w:rsid w:val="19A063D4"/>
    <w:rsid w:val="19CA09F8"/>
    <w:rsid w:val="19E117C3"/>
    <w:rsid w:val="19F73CC7"/>
    <w:rsid w:val="19FA7F54"/>
    <w:rsid w:val="1A347816"/>
    <w:rsid w:val="1A514204"/>
    <w:rsid w:val="1A884F76"/>
    <w:rsid w:val="1AD44303"/>
    <w:rsid w:val="1AFB1F5A"/>
    <w:rsid w:val="1B2E6DC7"/>
    <w:rsid w:val="1B30699D"/>
    <w:rsid w:val="1B5316CE"/>
    <w:rsid w:val="1B5E59D2"/>
    <w:rsid w:val="1B8650AC"/>
    <w:rsid w:val="1B9328C0"/>
    <w:rsid w:val="1BAA19D4"/>
    <w:rsid w:val="1BF579B9"/>
    <w:rsid w:val="1C6013C8"/>
    <w:rsid w:val="1C766428"/>
    <w:rsid w:val="1C874259"/>
    <w:rsid w:val="1D38234F"/>
    <w:rsid w:val="1D4B6511"/>
    <w:rsid w:val="1D7806A7"/>
    <w:rsid w:val="1DA71CFD"/>
    <w:rsid w:val="1DAB29A2"/>
    <w:rsid w:val="1DC3039C"/>
    <w:rsid w:val="1DD50930"/>
    <w:rsid w:val="1DE66DDE"/>
    <w:rsid w:val="1DEE1CB6"/>
    <w:rsid w:val="1DF407BB"/>
    <w:rsid w:val="1E38003B"/>
    <w:rsid w:val="1E4207AD"/>
    <w:rsid w:val="1E4A56A9"/>
    <w:rsid w:val="1E5366C1"/>
    <w:rsid w:val="1E5564BA"/>
    <w:rsid w:val="1F850095"/>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35A99"/>
    <w:rsid w:val="210811E1"/>
    <w:rsid w:val="210D039E"/>
    <w:rsid w:val="21282288"/>
    <w:rsid w:val="214B4914"/>
    <w:rsid w:val="21692244"/>
    <w:rsid w:val="218A241C"/>
    <w:rsid w:val="21942DDB"/>
    <w:rsid w:val="21E84CEC"/>
    <w:rsid w:val="21FA58F2"/>
    <w:rsid w:val="2201038D"/>
    <w:rsid w:val="229E5ACA"/>
    <w:rsid w:val="22C62A0D"/>
    <w:rsid w:val="22C66D30"/>
    <w:rsid w:val="23247878"/>
    <w:rsid w:val="23680C07"/>
    <w:rsid w:val="239E142D"/>
    <w:rsid w:val="23AF7474"/>
    <w:rsid w:val="23C901FD"/>
    <w:rsid w:val="23EA21A8"/>
    <w:rsid w:val="245870DE"/>
    <w:rsid w:val="247247A7"/>
    <w:rsid w:val="2473146A"/>
    <w:rsid w:val="24927781"/>
    <w:rsid w:val="24956530"/>
    <w:rsid w:val="24A768B2"/>
    <w:rsid w:val="258728BF"/>
    <w:rsid w:val="25B371B9"/>
    <w:rsid w:val="26335F86"/>
    <w:rsid w:val="268C60B5"/>
    <w:rsid w:val="26B04FB4"/>
    <w:rsid w:val="27470D0A"/>
    <w:rsid w:val="275B67F9"/>
    <w:rsid w:val="275E699A"/>
    <w:rsid w:val="2793390D"/>
    <w:rsid w:val="27C5366D"/>
    <w:rsid w:val="27DD67CA"/>
    <w:rsid w:val="28384A79"/>
    <w:rsid w:val="2839733E"/>
    <w:rsid w:val="28690808"/>
    <w:rsid w:val="28B07E55"/>
    <w:rsid w:val="28B54AA2"/>
    <w:rsid w:val="290D64D6"/>
    <w:rsid w:val="29441D0D"/>
    <w:rsid w:val="294D6347"/>
    <w:rsid w:val="29C2594E"/>
    <w:rsid w:val="29E50AC8"/>
    <w:rsid w:val="2A0F0B23"/>
    <w:rsid w:val="2A5A3CF7"/>
    <w:rsid w:val="2A5E31FB"/>
    <w:rsid w:val="2AC65A40"/>
    <w:rsid w:val="2AD201BE"/>
    <w:rsid w:val="2AD7786F"/>
    <w:rsid w:val="2AFE2B7E"/>
    <w:rsid w:val="2B1B7019"/>
    <w:rsid w:val="2B5D7AD6"/>
    <w:rsid w:val="2B7E5327"/>
    <w:rsid w:val="2B8E5174"/>
    <w:rsid w:val="2C731E01"/>
    <w:rsid w:val="2C880E99"/>
    <w:rsid w:val="2CD57B0B"/>
    <w:rsid w:val="2CE84050"/>
    <w:rsid w:val="2CF0147F"/>
    <w:rsid w:val="2D376513"/>
    <w:rsid w:val="2D3805E9"/>
    <w:rsid w:val="2D3B55CA"/>
    <w:rsid w:val="2D902A98"/>
    <w:rsid w:val="2DC863F1"/>
    <w:rsid w:val="2E2E5FB6"/>
    <w:rsid w:val="2E4D45F8"/>
    <w:rsid w:val="2EB72406"/>
    <w:rsid w:val="2EE35AD4"/>
    <w:rsid w:val="2F121AD6"/>
    <w:rsid w:val="2F2367DE"/>
    <w:rsid w:val="2F4443E0"/>
    <w:rsid w:val="2F797B38"/>
    <w:rsid w:val="2F994058"/>
    <w:rsid w:val="2FA773D4"/>
    <w:rsid w:val="2FF17CD6"/>
    <w:rsid w:val="30147C32"/>
    <w:rsid w:val="31542D3B"/>
    <w:rsid w:val="318B5075"/>
    <w:rsid w:val="31EB7BF1"/>
    <w:rsid w:val="32363829"/>
    <w:rsid w:val="3245071E"/>
    <w:rsid w:val="32832752"/>
    <w:rsid w:val="32CB5D97"/>
    <w:rsid w:val="32FE23BF"/>
    <w:rsid w:val="33006AEC"/>
    <w:rsid w:val="330E6893"/>
    <w:rsid w:val="331628B8"/>
    <w:rsid w:val="336F3742"/>
    <w:rsid w:val="3381468D"/>
    <w:rsid w:val="339F1C94"/>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CD07B0"/>
    <w:rsid w:val="37153A8B"/>
    <w:rsid w:val="373C5C66"/>
    <w:rsid w:val="375C57D7"/>
    <w:rsid w:val="37B25272"/>
    <w:rsid w:val="37DD651E"/>
    <w:rsid w:val="385A4D4A"/>
    <w:rsid w:val="38A94A77"/>
    <w:rsid w:val="38BA113F"/>
    <w:rsid w:val="38E27DEC"/>
    <w:rsid w:val="391609BB"/>
    <w:rsid w:val="392E6400"/>
    <w:rsid w:val="393C3987"/>
    <w:rsid w:val="39937B6F"/>
    <w:rsid w:val="39D31BEF"/>
    <w:rsid w:val="39FE11BA"/>
    <w:rsid w:val="3A0677A1"/>
    <w:rsid w:val="3A0F0E32"/>
    <w:rsid w:val="3A135075"/>
    <w:rsid w:val="3A3968C0"/>
    <w:rsid w:val="3A4C1C4E"/>
    <w:rsid w:val="3A505EF3"/>
    <w:rsid w:val="3A563658"/>
    <w:rsid w:val="3A632979"/>
    <w:rsid w:val="3A8424B5"/>
    <w:rsid w:val="3A867AE8"/>
    <w:rsid w:val="3A897973"/>
    <w:rsid w:val="3AB31D0C"/>
    <w:rsid w:val="3AD97E3A"/>
    <w:rsid w:val="3B141B02"/>
    <w:rsid w:val="3B1C30D7"/>
    <w:rsid w:val="3B3961CE"/>
    <w:rsid w:val="3B4A3B53"/>
    <w:rsid w:val="3B5651BA"/>
    <w:rsid w:val="3B8B323D"/>
    <w:rsid w:val="3B94063F"/>
    <w:rsid w:val="3BDE4D0D"/>
    <w:rsid w:val="3BF47021"/>
    <w:rsid w:val="3C1C5A4E"/>
    <w:rsid w:val="3C3D7B3D"/>
    <w:rsid w:val="3C795A31"/>
    <w:rsid w:val="3C923082"/>
    <w:rsid w:val="3D0354C7"/>
    <w:rsid w:val="3D503759"/>
    <w:rsid w:val="3D526BA9"/>
    <w:rsid w:val="3D5C6F45"/>
    <w:rsid w:val="3D7642C9"/>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6399B"/>
    <w:rsid w:val="3F4A203A"/>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B20782"/>
    <w:rsid w:val="43444545"/>
    <w:rsid w:val="4345438E"/>
    <w:rsid w:val="434D41C7"/>
    <w:rsid w:val="438741B0"/>
    <w:rsid w:val="44024A8B"/>
    <w:rsid w:val="44917C93"/>
    <w:rsid w:val="44B612FA"/>
    <w:rsid w:val="44BA4099"/>
    <w:rsid w:val="44D1088A"/>
    <w:rsid w:val="44F04ED5"/>
    <w:rsid w:val="459F6357"/>
    <w:rsid w:val="45FF0F27"/>
    <w:rsid w:val="464D0D0B"/>
    <w:rsid w:val="46547891"/>
    <w:rsid w:val="467320E7"/>
    <w:rsid w:val="4684407C"/>
    <w:rsid w:val="468E37DA"/>
    <w:rsid w:val="46D41E44"/>
    <w:rsid w:val="46E6761D"/>
    <w:rsid w:val="46F114A1"/>
    <w:rsid w:val="47AE2F53"/>
    <w:rsid w:val="47D53EDA"/>
    <w:rsid w:val="47F6467C"/>
    <w:rsid w:val="47FA0721"/>
    <w:rsid w:val="483B1BF1"/>
    <w:rsid w:val="487C2B41"/>
    <w:rsid w:val="48D53256"/>
    <w:rsid w:val="48ED2CFA"/>
    <w:rsid w:val="48EF4086"/>
    <w:rsid w:val="49446ABC"/>
    <w:rsid w:val="496938E0"/>
    <w:rsid w:val="4986043B"/>
    <w:rsid w:val="49882B35"/>
    <w:rsid w:val="49A91145"/>
    <w:rsid w:val="4A8F1807"/>
    <w:rsid w:val="4AA720A1"/>
    <w:rsid w:val="4AB22D3D"/>
    <w:rsid w:val="4B3872E6"/>
    <w:rsid w:val="4B425BC8"/>
    <w:rsid w:val="4B822C56"/>
    <w:rsid w:val="4BA329C5"/>
    <w:rsid w:val="4BD33F29"/>
    <w:rsid w:val="4BFB5CA4"/>
    <w:rsid w:val="4BFC1ADF"/>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7E4F09"/>
    <w:rsid w:val="4FDB228E"/>
    <w:rsid w:val="50196694"/>
    <w:rsid w:val="50946E51"/>
    <w:rsid w:val="50CD6950"/>
    <w:rsid w:val="50FD13B2"/>
    <w:rsid w:val="5125709E"/>
    <w:rsid w:val="513E16AC"/>
    <w:rsid w:val="51DA1198"/>
    <w:rsid w:val="52546F3F"/>
    <w:rsid w:val="527A1D76"/>
    <w:rsid w:val="52932641"/>
    <w:rsid w:val="52AA6BF6"/>
    <w:rsid w:val="52BB6452"/>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CE2507"/>
    <w:rsid w:val="54F930BC"/>
    <w:rsid w:val="55181CD2"/>
    <w:rsid w:val="553C09BC"/>
    <w:rsid w:val="55841CFB"/>
    <w:rsid w:val="55CA1D79"/>
    <w:rsid w:val="55D01D97"/>
    <w:rsid w:val="567275A6"/>
    <w:rsid w:val="56D00DA3"/>
    <w:rsid w:val="56DC5354"/>
    <w:rsid w:val="57032C03"/>
    <w:rsid w:val="57244B18"/>
    <w:rsid w:val="572B62DF"/>
    <w:rsid w:val="572C238F"/>
    <w:rsid w:val="57C3516C"/>
    <w:rsid w:val="57E675AF"/>
    <w:rsid w:val="57EF6871"/>
    <w:rsid w:val="57F4177E"/>
    <w:rsid w:val="58240039"/>
    <w:rsid w:val="583E67FE"/>
    <w:rsid w:val="58400129"/>
    <w:rsid w:val="585E498C"/>
    <w:rsid w:val="585F180A"/>
    <w:rsid w:val="587970AE"/>
    <w:rsid w:val="58A143C6"/>
    <w:rsid w:val="58F433FF"/>
    <w:rsid w:val="595A121E"/>
    <w:rsid w:val="59C65DC2"/>
    <w:rsid w:val="59C75644"/>
    <w:rsid w:val="5A7A0260"/>
    <w:rsid w:val="5A814BDD"/>
    <w:rsid w:val="5AA758C9"/>
    <w:rsid w:val="5AB5526E"/>
    <w:rsid w:val="5AF07FF7"/>
    <w:rsid w:val="5AF422E5"/>
    <w:rsid w:val="5B3B7F82"/>
    <w:rsid w:val="5B6858CF"/>
    <w:rsid w:val="5B8508B6"/>
    <w:rsid w:val="5B8D1FED"/>
    <w:rsid w:val="5BA105AC"/>
    <w:rsid w:val="5BC940E0"/>
    <w:rsid w:val="5BF26431"/>
    <w:rsid w:val="5BFA172C"/>
    <w:rsid w:val="5C494988"/>
    <w:rsid w:val="5C880332"/>
    <w:rsid w:val="5CB57D16"/>
    <w:rsid w:val="5CD36306"/>
    <w:rsid w:val="5CE549FC"/>
    <w:rsid w:val="5D023328"/>
    <w:rsid w:val="5D1D2554"/>
    <w:rsid w:val="5D2F7CD6"/>
    <w:rsid w:val="5D7D4759"/>
    <w:rsid w:val="5D830A96"/>
    <w:rsid w:val="5E5E0C68"/>
    <w:rsid w:val="5E780DEA"/>
    <w:rsid w:val="5E9D367C"/>
    <w:rsid w:val="5EDE4AA5"/>
    <w:rsid w:val="5F5622E4"/>
    <w:rsid w:val="5F631FA8"/>
    <w:rsid w:val="5F721888"/>
    <w:rsid w:val="5F750B1F"/>
    <w:rsid w:val="5F8A32D2"/>
    <w:rsid w:val="60440F72"/>
    <w:rsid w:val="605104DD"/>
    <w:rsid w:val="6071382F"/>
    <w:rsid w:val="60867BFB"/>
    <w:rsid w:val="60871227"/>
    <w:rsid w:val="609430EC"/>
    <w:rsid w:val="60AC41CD"/>
    <w:rsid w:val="6133512D"/>
    <w:rsid w:val="614566A2"/>
    <w:rsid w:val="61663C93"/>
    <w:rsid w:val="61997FE5"/>
    <w:rsid w:val="61AD3F41"/>
    <w:rsid w:val="61AF6C07"/>
    <w:rsid w:val="61E93730"/>
    <w:rsid w:val="632D3B23"/>
    <w:rsid w:val="6386412B"/>
    <w:rsid w:val="639000ED"/>
    <w:rsid w:val="63A44F76"/>
    <w:rsid w:val="63BC2D1F"/>
    <w:rsid w:val="64165B94"/>
    <w:rsid w:val="6456298D"/>
    <w:rsid w:val="645A2367"/>
    <w:rsid w:val="64FE5F12"/>
    <w:rsid w:val="654B48AE"/>
    <w:rsid w:val="65507243"/>
    <w:rsid w:val="65576B9C"/>
    <w:rsid w:val="656027FF"/>
    <w:rsid w:val="65891AB8"/>
    <w:rsid w:val="65B11FF7"/>
    <w:rsid w:val="65BA58F3"/>
    <w:rsid w:val="66410285"/>
    <w:rsid w:val="66457E51"/>
    <w:rsid w:val="664A0A82"/>
    <w:rsid w:val="6650714A"/>
    <w:rsid w:val="6680376E"/>
    <w:rsid w:val="66ED31EA"/>
    <w:rsid w:val="6754041A"/>
    <w:rsid w:val="67BF1301"/>
    <w:rsid w:val="67E120F3"/>
    <w:rsid w:val="67E72DEC"/>
    <w:rsid w:val="67FA3E47"/>
    <w:rsid w:val="68085293"/>
    <w:rsid w:val="6851376E"/>
    <w:rsid w:val="686C31D7"/>
    <w:rsid w:val="68F07009"/>
    <w:rsid w:val="691A3243"/>
    <w:rsid w:val="69631CC1"/>
    <w:rsid w:val="696C42BB"/>
    <w:rsid w:val="698A6B0F"/>
    <w:rsid w:val="69BA4D2E"/>
    <w:rsid w:val="69D232C1"/>
    <w:rsid w:val="6A27755C"/>
    <w:rsid w:val="6A782EAA"/>
    <w:rsid w:val="6ABA7E95"/>
    <w:rsid w:val="6AC678E7"/>
    <w:rsid w:val="6B58578D"/>
    <w:rsid w:val="6B704279"/>
    <w:rsid w:val="6BB753C9"/>
    <w:rsid w:val="6BD06E0B"/>
    <w:rsid w:val="6C4E23A0"/>
    <w:rsid w:val="6C911A64"/>
    <w:rsid w:val="6CCC0C2E"/>
    <w:rsid w:val="6D020EA1"/>
    <w:rsid w:val="6D221C0A"/>
    <w:rsid w:val="6D78666A"/>
    <w:rsid w:val="6DD86485"/>
    <w:rsid w:val="6E0F1211"/>
    <w:rsid w:val="6EF677CA"/>
    <w:rsid w:val="6F560EDF"/>
    <w:rsid w:val="6F60096A"/>
    <w:rsid w:val="6F64491D"/>
    <w:rsid w:val="6F6E1156"/>
    <w:rsid w:val="6FBD0858"/>
    <w:rsid w:val="70180E63"/>
    <w:rsid w:val="70A63951"/>
    <w:rsid w:val="70CF6A45"/>
    <w:rsid w:val="711B1DE7"/>
    <w:rsid w:val="71327C99"/>
    <w:rsid w:val="7150596E"/>
    <w:rsid w:val="71957047"/>
    <w:rsid w:val="71B7115A"/>
    <w:rsid w:val="71C7583B"/>
    <w:rsid w:val="71F715BA"/>
    <w:rsid w:val="722D1013"/>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93719"/>
    <w:rsid w:val="74DE1C4C"/>
    <w:rsid w:val="74E008E0"/>
    <w:rsid w:val="751115BE"/>
    <w:rsid w:val="752D1850"/>
    <w:rsid w:val="75740E00"/>
    <w:rsid w:val="759D5584"/>
    <w:rsid w:val="76185042"/>
    <w:rsid w:val="763A080C"/>
    <w:rsid w:val="76EB5B39"/>
    <w:rsid w:val="77226532"/>
    <w:rsid w:val="774A235B"/>
    <w:rsid w:val="776F4F23"/>
    <w:rsid w:val="77B7463B"/>
    <w:rsid w:val="77C07B7E"/>
    <w:rsid w:val="78156E78"/>
    <w:rsid w:val="782D5EAF"/>
    <w:rsid w:val="786302A1"/>
    <w:rsid w:val="789F1175"/>
    <w:rsid w:val="78B12751"/>
    <w:rsid w:val="792E4191"/>
    <w:rsid w:val="7931734A"/>
    <w:rsid w:val="796E028F"/>
    <w:rsid w:val="79AF12CA"/>
    <w:rsid w:val="7A3D1E89"/>
    <w:rsid w:val="7A601B54"/>
    <w:rsid w:val="7A6A7EDA"/>
    <w:rsid w:val="7A6D2733"/>
    <w:rsid w:val="7A793925"/>
    <w:rsid w:val="7A9742EF"/>
    <w:rsid w:val="7A990897"/>
    <w:rsid w:val="7ADB38D4"/>
    <w:rsid w:val="7B632E6A"/>
    <w:rsid w:val="7BA47128"/>
    <w:rsid w:val="7BD0716D"/>
    <w:rsid w:val="7BD70C05"/>
    <w:rsid w:val="7BF178BE"/>
    <w:rsid w:val="7C162975"/>
    <w:rsid w:val="7C7C706C"/>
    <w:rsid w:val="7C857BC3"/>
    <w:rsid w:val="7CA72D12"/>
    <w:rsid w:val="7CFC59C6"/>
    <w:rsid w:val="7D1320C4"/>
    <w:rsid w:val="7D3C13AA"/>
    <w:rsid w:val="7D494141"/>
    <w:rsid w:val="7DBC5A56"/>
    <w:rsid w:val="7DD2691C"/>
    <w:rsid w:val="7DFA3D71"/>
    <w:rsid w:val="7E237976"/>
    <w:rsid w:val="7E3563A1"/>
    <w:rsid w:val="7E387110"/>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66329E-49EA-4FC8-8863-DF5E3FA6D74F}">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12</Pages>
  <Words>4541</Words>
  <Characters>25886</Characters>
  <Lines>215</Lines>
  <Paragraphs>60</Paragraphs>
  <TotalTime>3</TotalTime>
  <ScaleCrop>false</ScaleCrop>
  <LinksUpToDate>false</LinksUpToDate>
  <CharactersWithSpaces>30367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2021-11-05T11:42:17Z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